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4B" w:rsidRPr="009B3B07" w:rsidRDefault="0074304B" w:rsidP="0074304B">
      <w:pPr>
        <w:pStyle w:val="2"/>
        <w:ind w:left="5664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9B3B07">
        <w:rPr>
          <w:rFonts w:ascii="Times New Roman" w:hAnsi="Times New Roman" w:cs="Times New Roman"/>
          <w:sz w:val="26"/>
          <w:szCs w:val="26"/>
          <w:lang w:val="ru-RU"/>
        </w:rPr>
        <w:t>УТВЕРЖДЕН</w:t>
      </w:r>
      <w:r w:rsidR="00BB31C7">
        <w:rPr>
          <w:rFonts w:ascii="Times New Roman" w:hAnsi="Times New Roman" w:cs="Times New Roman"/>
          <w:sz w:val="26"/>
          <w:szCs w:val="26"/>
          <w:lang w:val="ru-RU"/>
        </w:rPr>
        <w:t>О</w:t>
      </w:r>
    </w:p>
    <w:p w:rsidR="0074304B" w:rsidRPr="009B3B07" w:rsidRDefault="0074304B" w:rsidP="0074304B">
      <w:pPr>
        <w:jc w:val="right"/>
        <w:rPr>
          <w:sz w:val="26"/>
          <w:szCs w:val="26"/>
        </w:rPr>
      </w:pPr>
      <w:r w:rsidRPr="009B3B07">
        <w:rPr>
          <w:sz w:val="26"/>
          <w:szCs w:val="26"/>
        </w:rPr>
        <w:t xml:space="preserve">Распоряжением </w:t>
      </w:r>
      <w:r w:rsidR="00BB31C7">
        <w:rPr>
          <w:sz w:val="26"/>
          <w:szCs w:val="26"/>
        </w:rPr>
        <w:t>А</w:t>
      </w:r>
      <w:r w:rsidRPr="009B3B07">
        <w:rPr>
          <w:sz w:val="26"/>
          <w:szCs w:val="26"/>
        </w:rPr>
        <w:t>дминистрации</w:t>
      </w:r>
    </w:p>
    <w:p w:rsidR="0074304B" w:rsidRPr="009B3B07" w:rsidRDefault="0074304B" w:rsidP="0074304B">
      <w:pPr>
        <w:jc w:val="right"/>
        <w:rPr>
          <w:sz w:val="26"/>
          <w:szCs w:val="26"/>
        </w:rPr>
      </w:pPr>
      <w:r>
        <w:rPr>
          <w:sz w:val="26"/>
          <w:szCs w:val="26"/>
        </w:rPr>
        <w:t>Мордвиновского</w:t>
      </w:r>
      <w:r w:rsidRPr="009B3B07">
        <w:rPr>
          <w:sz w:val="26"/>
          <w:szCs w:val="26"/>
        </w:rPr>
        <w:t xml:space="preserve"> сельского</w:t>
      </w:r>
      <w:r w:rsidR="00BB31C7">
        <w:rPr>
          <w:sz w:val="26"/>
          <w:szCs w:val="26"/>
        </w:rPr>
        <w:t xml:space="preserve"> </w:t>
      </w:r>
      <w:r w:rsidRPr="009B3B07">
        <w:rPr>
          <w:sz w:val="26"/>
          <w:szCs w:val="26"/>
        </w:rPr>
        <w:t>поселения</w:t>
      </w:r>
    </w:p>
    <w:p w:rsidR="0074304B" w:rsidRPr="009B3B07" w:rsidRDefault="0074304B" w:rsidP="0074304B">
      <w:pPr>
        <w:ind w:left="5664"/>
        <w:jc w:val="right"/>
        <w:rPr>
          <w:b/>
          <w:sz w:val="26"/>
          <w:szCs w:val="26"/>
        </w:rPr>
      </w:pPr>
      <w:r w:rsidRPr="009B3B07">
        <w:rPr>
          <w:sz w:val="26"/>
          <w:szCs w:val="26"/>
        </w:rPr>
        <w:t xml:space="preserve">от </w:t>
      </w:r>
      <w:r>
        <w:rPr>
          <w:sz w:val="26"/>
          <w:szCs w:val="26"/>
        </w:rPr>
        <w:t>26 сентября</w:t>
      </w:r>
      <w:r w:rsidRPr="009B3B07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9B3B07">
        <w:rPr>
          <w:sz w:val="26"/>
          <w:szCs w:val="26"/>
        </w:rPr>
        <w:t xml:space="preserve"> г. № </w:t>
      </w:r>
      <w:r>
        <w:rPr>
          <w:sz w:val="26"/>
          <w:szCs w:val="26"/>
        </w:rPr>
        <w:t>35</w:t>
      </w:r>
    </w:p>
    <w:p w:rsidR="0074304B" w:rsidRPr="009B3B07" w:rsidRDefault="0074304B" w:rsidP="0074304B">
      <w:pPr>
        <w:jc w:val="center"/>
        <w:outlineLvl w:val="0"/>
        <w:rPr>
          <w:b/>
          <w:sz w:val="26"/>
          <w:szCs w:val="26"/>
        </w:rPr>
      </w:pPr>
    </w:p>
    <w:p w:rsidR="0074304B" w:rsidRPr="009B3B07" w:rsidRDefault="0074304B" w:rsidP="0074304B">
      <w:pPr>
        <w:jc w:val="center"/>
        <w:outlineLvl w:val="0"/>
        <w:rPr>
          <w:sz w:val="26"/>
          <w:szCs w:val="26"/>
        </w:rPr>
      </w:pPr>
      <w:r w:rsidRPr="009B3B07">
        <w:rPr>
          <w:sz w:val="26"/>
          <w:szCs w:val="26"/>
        </w:rPr>
        <w:t xml:space="preserve">Методика и порядок планирования бюджетных ассигнований </w:t>
      </w:r>
    </w:p>
    <w:p w:rsidR="0074304B" w:rsidRPr="009B3B07" w:rsidRDefault="0074304B" w:rsidP="0074304B">
      <w:pPr>
        <w:jc w:val="center"/>
        <w:outlineLvl w:val="0"/>
        <w:rPr>
          <w:sz w:val="26"/>
          <w:szCs w:val="26"/>
        </w:rPr>
      </w:pPr>
      <w:r w:rsidRPr="009B3B07">
        <w:rPr>
          <w:sz w:val="26"/>
          <w:szCs w:val="26"/>
        </w:rPr>
        <w:t>бюджета сельского поселения на 202</w:t>
      </w:r>
      <w:r>
        <w:rPr>
          <w:sz w:val="26"/>
          <w:szCs w:val="26"/>
        </w:rPr>
        <w:t>4</w:t>
      </w:r>
      <w:r w:rsidRPr="009B3B07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5</w:t>
      </w:r>
      <w:r w:rsidRPr="009B3B07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9B3B07">
        <w:rPr>
          <w:sz w:val="26"/>
          <w:szCs w:val="26"/>
        </w:rPr>
        <w:t xml:space="preserve"> годов</w:t>
      </w:r>
    </w:p>
    <w:p w:rsidR="0074304B" w:rsidRPr="009B3B07" w:rsidRDefault="0074304B" w:rsidP="0074304B">
      <w:pPr>
        <w:jc w:val="both"/>
        <w:outlineLvl w:val="0"/>
        <w:rPr>
          <w:sz w:val="26"/>
          <w:szCs w:val="26"/>
        </w:rPr>
      </w:pPr>
      <w:r w:rsidRPr="009B3B07">
        <w:rPr>
          <w:sz w:val="26"/>
          <w:szCs w:val="26"/>
        </w:rPr>
        <w:t xml:space="preserve">               </w:t>
      </w:r>
    </w:p>
    <w:p w:rsidR="0074304B" w:rsidRPr="009B3B07" w:rsidRDefault="0074304B" w:rsidP="0074304B">
      <w:pPr>
        <w:jc w:val="center"/>
        <w:outlineLvl w:val="0"/>
        <w:rPr>
          <w:snapToGrid w:val="0"/>
          <w:sz w:val="26"/>
          <w:szCs w:val="26"/>
        </w:rPr>
      </w:pPr>
      <w:r w:rsidRPr="009B3B07">
        <w:rPr>
          <w:sz w:val="26"/>
          <w:szCs w:val="26"/>
          <w:lang w:val="en-US"/>
        </w:rPr>
        <w:t>I</w:t>
      </w:r>
      <w:r w:rsidRPr="009B3B07">
        <w:rPr>
          <w:sz w:val="26"/>
          <w:szCs w:val="26"/>
        </w:rPr>
        <w:t>. Общие положения</w:t>
      </w:r>
    </w:p>
    <w:p w:rsidR="0074304B" w:rsidRPr="009B3B07" w:rsidRDefault="0074304B" w:rsidP="0074304B">
      <w:pPr>
        <w:jc w:val="center"/>
        <w:rPr>
          <w:sz w:val="26"/>
          <w:szCs w:val="26"/>
        </w:rPr>
      </w:pPr>
    </w:p>
    <w:p w:rsidR="0074304B" w:rsidRPr="009B3B07" w:rsidRDefault="0074304B" w:rsidP="0074304B">
      <w:pPr>
        <w:pStyle w:val="21"/>
        <w:numPr>
          <w:ilvl w:val="0"/>
          <w:numId w:val="2"/>
        </w:numPr>
        <w:tabs>
          <w:tab w:val="clear" w:pos="1260"/>
          <w:tab w:val="num" w:pos="1080"/>
        </w:tabs>
        <w:ind w:left="0" w:right="0" w:firstLine="720"/>
        <w:outlineLvl w:val="9"/>
        <w:rPr>
          <w:sz w:val="26"/>
          <w:szCs w:val="26"/>
        </w:rPr>
      </w:pPr>
      <w:r w:rsidRPr="009B3B07">
        <w:rPr>
          <w:sz w:val="26"/>
          <w:szCs w:val="26"/>
        </w:rPr>
        <w:t>Методика и порядок планирования бюджетных ассигнований на 202</w:t>
      </w:r>
      <w:r>
        <w:rPr>
          <w:sz w:val="26"/>
          <w:szCs w:val="26"/>
        </w:rPr>
        <w:t>4</w:t>
      </w:r>
      <w:r w:rsidRPr="009B3B07">
        <w:rPr>
          <w:sz w:val="26"/>
          <w:szCs w:val="26"/>
        </w:rPr>
        <w:t xml:space="preserve"> год и на  плановый период 202</w:t>
      </w:r>
      <w:r>
        <w:rPr>
          <w:sz w:val="26"/>
          <w:szCs w:val="26"/>
        </w:rPr>
        <w:t>5</w:t>
      </w:r>
      <w:r w:rsidRPr="009B3B07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9B3B07">
        <w:rPr>
          <w:sz w:val="26"/>
          <w:szCs w:val="26"/>
        </w:rPr>
        <w:t xml:space="preserve"> годов (далее  именуется – Методика) разработана в соответствии со статьей 174.2 Бюджетного кодекса Российской Федерации, статьей 8 Решения Совета депутатов </w:t>
      </w:r>
      <w:r>
        <w:rPr>
          <w:sz w:val="26"/>
          <w:szCs w:val="26"/>
        </w:rPr>
        <w:t>Мордвиновского</w:t>
      </w:r>
      <w:r w:rsidRPr="009B3B07">
        <w:rPr>
          <w:sz w:val="26"/>
          <w:szCs w:val="26"/>
        </w:rPr>
        <w:t xml:space="preserve"> сельского поселения от </w:t>
      </w:r>
      <w:r>
        <w:rPr>
          <w:sz w:val="26"/>
          <w:szCs w:val="26"/>
        </w:rPr>
        <w:t>29.05</w:t>
      </w:r>
      <w:r w:rsidRPr="009B3B07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9B3B07">
        <w:rPr>
          <w:sz w:val="26"/>
          <w:szCs w:val="26"/>
        </w:rPr>
        <w:t xml:space="preserve">г. №  </w:t>
      </w:r>
      <w:r>
        <w:rPr>
          <w:sz w:val="26"/>
          <w:szCs w:val="26"/>
        </w:rPr>
        <w:t>14</w:t>
      </w:r>
      <w:r w:rsidRPr="009B3B07">
        <w:rPr>
          <w:sz w:val="26"/>
          <w:szCs w:val="26"/>
        </w:rPr>
        <w:t xml:space="preserve"> «Об утверждении Положения о бюджетном процессе в </w:t>
      </w:r>
      <w:r>
        <w:rPr>
          <w:sz w:val="26"/>
          <w:szCs w:val="26"/>
        </w:rPr>
        <w:t>Мордвиновском</w:t>
      </w:r>
      <w:r w:rsidRPr="009B3B07">
        <w:rPr>
          <w:sz w:val="26"/>
          <w:szCs w:val="26"/>
        </w:rPr>
        <w:t xml:space="preserve">  сельском поселении</w:t>
      </w:r>
      <w:r>
        <w:rPr>
          <w:sz w:val="26"/>
          <w:szCs w:val="26"/>
        </w:rPr>
        <w:t xml:space="preserve"> Увельского муниципального района Челябинской области</w:t>
      </w:r>
      <w:r w:rsidRPr="009B3B07">
        <w:rPr>
          <w:sz w:val="26"/>
          <w:szCs w:val="26"/>
        </w:rPr>
        <w:t xml:space="preserve">» и определяет правила планирования бюджетных ассигнований бюджета </w:t>
      </w:r>
      <w:r>
        <w:rPr>
          <w:sz w:val="26"/>
          <w:szCs w:val="26"/>
        </w:rPr>
        <w:t xml:space="preserve">сельского поселения </w:t>
      </w:r>
      <w:r w:rsidRPr="009B3B07">
        <w:rPr>
          <w:sz w:val="26"/>
          <w:szCs w:val="26"/>
        </w:rPr>
        <w:t>на очередной финансовый год и плановый период (далее - бюджетные ассигнования).</w:t>
      </w:r>
    </w:p>
    <w:p w:rsidR="0074304B" w:rsidRPr="009B3B07" w:rsidRDefault="0074304B" w:rsidP="0074304B">
      <w:pPr>
        <w:pStyle w:val="21"/>
        <w:numPr>
          <w:ilvl w:val="0"/>
          <w:numId w:val="2"/>
        </w:numPr>
        <w:tabs>
          <w:tab w:val="clear" w:pos="1260"/>
          <w:tab w:val="num" w:pos="1080"/>
        </w:tabs>
        <w:ind w:left="0" w:right="0" w:firstLine="720"/>
        <w:outlineLvl w:val="9"/>
        <w:rPr>
          <w:sz w:val="26"/>
          <w:szCs w:val="26"/>
        </w:rPr>
      </w:pPr>
      <w:r w:rsidRPr="009B3B07">
        <w:rPr>
          <w:sz w:val="26"/>
          <w:szCs w:val="26"/>
        </w:rPr>
        <w:t>Бюджетные ассигнования группируются в соответствии с видами бюджетных ассигнований согласно статье 69 Бюджетного кодекса Российской Федерации и рассчитываются с учетом положений статей 69.1, 70, 74.1, 78, 78.1, 79, 80 Бюджетного кодекса Российской Федерации.</w:t>
      </w:r>
    </w:p>
    <w:p w:rsidR="0074304B" w:rsidRPr="009B3B07" w:rsidRDefault="0074304B" w:rsidP="0074304B">
      <w:pPr>
        <w:pStyle w:val="21"/>
        <w:numPr>
          <w:ilvl w:val="0"/>
          <w:numId w:val="2"/>
        </w:numPr>
        <w:tabs>
          <w:tab w:val="clear" w:pos="1260"/>
          <w:tab w:val="num" w:pos="1080"/>
        </w:tabs>
        <w:ind w:left="0" w:right="0" w:firstLine="720"/>
        <w:outlineLvl w:val="9"/>
        <w:rPr>
          <w:sz w:val="26"/>
          <w:szCs w:val="26"/>
        </w:rPr>
      </w:pPr>
      <w:r w:rsidRPr="009B3B07">
        <w:rPr>
          <w:sz w:val="26"/>
          <w:szCs w:val="26"/>
        </w:rPr>
        <w:t>Методы планирования подразделяются на:</w:t>
      </w:r>
    </w:p>
    <w:p w:rsidR="0074304B" w:rsidRPr="009B3B07" w:rsidRDefault="0074304B" w:rsidP="0074304B">
      <w:pPr>
        <w:pStyle w:val="a5"/>
        <w:ind w:firstLine="720"/>
        <w:jc w:val="both"/>
        <w:rPr>
          <w:sz w:val="26"/>
          <w:szCs w:val="26"/>
          <w:lang w:eastAsia="ru-RU"/>
        </w:rPr>
      </w:pPr>
      <w:r w:rsidRPr="009B3B07">
        <w:rPr>
          <w:sz w:val="26"/>
          <w:szCs w:val="26"/>
          <w:lang w:eastAsia="ru-RU"/>
        </w:rPr>
        <w:t>3.1 нормативный метод расчета бюджетного ассигнования – расчет объема бюджетного ассигнования на основе нормативов, утвержденных в соответствующих нормативных правовых актах;</w:t>
      </w:r>
    </w:p>
    <w:p w:rsidR="0074304B" w:rsidRPr="009B3B07" w:rsidRDefault="0074304B" w:rsidP="0074304B">
      <w:pPr>
        <w:pStyle w:val="a5"/>
        <w:ind w:firstLine="720"/>
        <w:jc w:val="both"/>
        <w:rPr>
          <w:sz w:val="26"/>
          <w:szCs w:val="26"/>
          <w:lang w:eastAsia="ru-RU"/>
        </w:rPr>
      </w:pPr>
      <w:r w:rsidRPr="009B3B07">
        <w:rPr>
          <w:sz w:val="26"/>
          <w:szCs w:val="26"/>
          <w:lang w:eastAsia="ru-RU"/>
        </w:rPr>
        <w:t>3.2 учетный метод (индексация) расчета бюджетных ассигнований – расчет объема бюджетных ассигнований осуществляется путем индексации на прогнозируемый среднегодовой индекс потребительских цен, а также расчет бюджетных ассигнований на оплату коммунальных услуг путем индексации на рост тарифов на оплату коммунальных услуг объема бюджетных ассигнований текущего года;</w:t>
      </w:r>
    </w:p>
    <w:p w:rsidR="0074304B" w:rsidRPr="009B3B07" w:rsidRDefault="0074304B" w:rsidP="0074304B">
      <w:pPr>
        <w:pStyle w:val="a5"/>
        <w:ind w:firstLine="709"/>
        <w:jc w:val="both"/>
        <w:rPr>
          <w:sz w:val="26"/>
          <w:szCs w:val="26"/>
          <w:lang w:eastAsia="ru-RU"/>
        </w:rPr>
      </w:pPr>
      <w:r w:rsidRPr="009B3B07">
        <w:rPr>
          <w:sz w:val="26"/>
          <w:szCs w:val="26"/>
          <w:lang w:eastAsia="ru-RU"/>
        </w:rPr>
        <w:t>3.3 плановый метод расчета бюджетного ассигнования – установление объема бюджетного ассигнования в соответствии с показателями, указанными в нормативном правовом акте (муниципальной программе, договоре) администрации района или главного распорядителя бюджетных средств;</w:t>
      </w:r>
    </w:p>
    <w:p w:rsidR="0074304B" w:rsidRPr="009B3B07" w:rsidRDefault="0074304B" w:rsidP="0074304B">
      <w:pPr>
        <w:pStyle w:val="a5"/>
        <w:ind w:firstLine="709"/>
        <w:jc w:val="both"/>
        <w:rPr>
          <w:sz w:val="26"/>
          <w:szCs w:val="26"/>
          <w:lang w:eastAsia="ru-RU"/>
        </w:rPr>
      </w:pPr>
      <w:r w:rsidRPr="009B3B07">
        <w:rPr>
          <w:sz w:val="26"/>
          <w:szCs w:val="26"/>
          <w:lang w:eastAsia="ru-RU"/>
        </w:rPr>
        <w:t>3.4 иные методы расчета бюджетного ассигнования – расчет объема бюджетного ассигнования методом, отличным от нормативного метода, учетного метода и планового метода.</w:t>
      </w:r>
    </w:p>
    <w:p w:rsidR="0074304B" w:rsidRPr="009B3B07" w:rsidRDefault="0074304B" w:rsidP="0074304B">
      <w:pPr>
        <w:pStyle w:val="21"/>
        <w:ind w:right="0"/>
        <w:outlineLvl w:val="9"/>
        <w:rPr>
          <w:sz w:val="26"/>
          <w:szCs w:val="26"/>
        </w:rPr>
      </w:pPr>
      <w:r w:rsidRPr="009B3B07">
        <w:rPr>
          <w:sz w:val="26"/>
          <w:szCs w:val="26"/>
        </w:rPr>
        <w:t>4. Планирование бюджетных ассигнований осуществляется раздельно по действующим и принимаемым расходным обязательствам.</w:t>
      </w:r>
    </w:p>
    <w:p w:rsidR="0074304B" w:rsidRPr="009B3B07" w:rsidRDefault="0074304B" w:rsidP="0074304B">
      <w:pPr>
        <w:pStyle w:val="21"/>
        <w:ind w:right="0"/>
        <w:outlineLvl w:val="9"/>
        <w:rPr>
          <w:sz w:val="26"/>
          <w:szCs w:val="26"/>
        </w:rPr>
      </w:pPr>
      <w:r w:rsidRPr="009B3B07">
        <w:rPr>
          <w:sz w:val="26"/>
          <w:szCs w:val="26"/>
        </w:rPr>
        <w:t>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период, а также его выполнения в отчетном и текущем финансовом году.</w:t>
      </w:r>
    </w:p>
    <w:p w:rsidR="0074304B" w:rsidRPr="009B3B07" w:rsidRDefault="0074304B" w:rsidP="0074304B">
      <w:pPr>
        <w:pStyle w:val="21"/>
        <w:ind w:right="0"/>
        <w:outlineLvl w:val="9"/>
        <w:rPr>
          <w:sz w:val="26"/>
          <w:szCs w:val="26"/>
        </w:rPr>
      </w:pPr>
      <w:r w:rsidRPr="009B3B07">
        <w:rPr>
          <w:sz w:val="26"/>
          <w:szCs w:val="26"/>
        </w:rPr>
        <w:lastRenderedPageBreak/>
        <w:t xml:space="preserve">Муниципальное задание формируется в соответствии с Бюджетным кодексом Российской Федерации и нормативными правовыми актами </w:t>
      </w:r>
      <w:r>
        <w:rPr>
          <w:sz w:val="26"/>
          <w:szCs w:val="26"/>
        </w:rPr>
        <w:t>Мордвиновского</w:t>
      </w:r>
      <w:r w:rsidRPr="009B3B07">
        <w:rPr>
          <w:sz w:val="26"/>
          <w:szCs w:val="26"/>
        </w:rPr>
        <w:t xml:space="preserve"> сельского поселения.</w:t>
      </w:r>
    </w:p>
    <w:p w:rsidR="0074304B" w:rsidRPr="009B3B07" w:rsidRDefault="0074304B" w:rsidP="0074304B">
      <w:pPr>
        <w:pStyle w:val="21"/>
        <w:ind w:right="0"/>
        <w:outlineLvl w:val="9"/>
        <w:rPr>
          <w:sz w:val="26"/>
          <w:szCs w:val="26"/>
        </w:rPr>
      </w:pPr>
      <w:r w:rsidRPr="009B3B07">
        <w:rPr>
          <w:sz w:val="26"/>
          <w:szCs w:val="26"/>
        </w:rPr>
        <w:t xml:space="preserve">5. В качестве «базовых» объемов бюджетных ассигнований местного бюджета принимаются бюджетные ассигнования утвержденные Решением Совета депутатов сельского поселения «О бюджете </w:t>
      </w:r>
      <w:r>
        <w:rPr>
          <w:sz w:val="26"/>
          <w:szCs w:val="26"/>
        </w:rPr>
        <w:t xml:space="preserve">Мордвиновского </w:t>
      </w:r>
      <w:r w:rsidRPr="009B3B07">
        <w:rPr>
          <w:sz w:val="26"/>
          <w:szCs w:val="26"/>
        </w:rPr>
        <w:t>сельского поселения на 202</w:t>
      </w:r>
      <w:r>
        <w:rPr>
          <w:sz w:val="26"/>
          <w:szCs w:val="26"/>
        </w:rPr>
        <w:t>3</w:t>
      </w:r>
      <w:r w:rsidRPr="009B3B07">
        <w:rPr>
          <w:sz w:val="26"/>
          <w:szCs w:val="26"/>
        </w:rPr>
        <w:t xml:space="preserve"> и на плановый период 202</w:t>
      </w:r>
      <w:r>
        <w:rPr>
          <w:sz w:val="26"/>
          <w:szCs w:val="26"/>
        </w:rPr>
        <w:t>4</w:t>
      </w:r>
      <w:r w:rsidRPr="009B3B07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9B3B07">
        <w:rPr>
          <w:sz w:val="26"/>
          <w:szCs w:val="26"/>
        </w:rPr>
        <w:t xml:space="preserve"> годов» с изменениями, состав и объем которых обусловлены решениями, иными нормативными правовыми актами, договорами (соглашениями), заключенными от имени </w:t>
      </w:r>
      <w:r>
        <w:rPr>
          <w:sz w:val="26"/>
          <w:szCs w:val="26"/>
        </w:rPr>
        <w:t>Мордвиновского</w:t>
      </w:r>
      <w:r w:rsidRPr="009B3B07">
        <w:rPr>
          <w:sz w:val="26"/>
          <w:szCs w:val="26"/>
        </w:rPr>
        <w:t xml:space="preserve"> сельского поселения не планируемые к изменению в 202</w:t>
      </w:r>
      <w:r>
        <w:rPr>
          <w:sz w:val="26"/>
          <w:szCs w:val="26"/>
        </w:rPr>
        <w:t>4</w:t>
      </w:r>
      <w:r w:rsidRPr="009B3B07">
        <w:rPr>
          <w:sz w:val="26"/>
          <w:szCs w:val="26"/>
        </w:rPr>
        <w:t xml:space="preserve"> году,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обязательств.</w:t>
      </w:r>
    </w:p>
    <w:p w:rsidR="0074304B" w:rsidRPr="009B3B07" w:rsidRDefault="0074304B" w:rsidP="0074304B">
      <w:pPr>
        <w:pStyle w:val="21"/>
        <w:ind w:right="0"/>
        <w:outlineLvl w:val="9"/>
        <w:rPr>
          <w:sz w:val="26"/>
          <w:szCs w:val="26"/>
        </w:rPr>
      </w:pPr>
      <w:r w:rsidRPr="009B3B07">
        <w:rPr>
          <w:sz w:val="26"/>
          <w:szCs w:val="26"/>
        </w:rPr>
        <w:t xml:space="preserve">Правовыми основаниями возникновения принимаемых расходных обязательств, на исполнение которых планируется направить бюджетные ассигнования, являются решения Совета депутатов сельского поселения, нормативные правовые акты администрации сельского поселения, договоры (соглашения), заключенные от имени </w:t>
      </w:r>
      <w:r>
        <w:rPr>
          <w:sz w:val="26"/>
          <w:szCs w:val="26"/>
        </w:rPr>
        <w:t>Мордвиновского</w:t>
      </w:r>
      <w:r w:rsidRPr="009B3B07">
        <w:rPr>
          <w:sz w:val="26"/>
          <w:szCs w:val="26"/>
        </w:rPr>
        <w:t xml:space="preserve"> сельского поселения, предлагаемые (планируемые) к принятию в 202</w:t>
      </w:r>
      <w:r>
        <w:rPr>
          <w:sz w:val="26"/>
          <w:szCs w:val="26"/>
        </w:rPr>
        <w:t>4</w:t>
      </w:r>
      <w:r w:rsidRPr="009B3B07">
        <w:rPr>
          <w:sz w:val="26"/>
          <w:szCs w:val="26"/>
        </w:rPr>
        <w:t xml:space="preserve"> году.</w:t>
      </w:r>
    </w:p>
    <w:p w:rsidR="0074304B" w:rsidRPr="009B3B07" w:rsidRDefault="0074304B" w:rsidP="0074304B">
      <w:pPr>
        <w:pStyle w:val="21"/>
        <w:ind w:right="0"/>
        <w:outlineLvl w:val="9"/>
        <w:rPr>
          <w:sz w:val="26"/>
          <w:szCs w:val="26"/>
        </w:rPr>
      </w:pPr>
      <w:r w:rsidRPr="009B3B07">
        <w:rPr>
          <w:sz w:val="26"/>
          <w:szCs w:val="26"/>
        </w:rPr>
        <w:t>Бюджетные ассигнования текущего года уменьшаются на суммы расходов:</w:t>
      </w:r>
    </w:p>
    <w:p w:rsidR="0074304B" w:rsidRPr="009B3B07" w:rsidRDefault="0074304B" w:rsidP="0074304B">
      <w:pPr>
        <w:pStyle w:val="21"/>
        <w:ind w:right="0"/>
        <w:outlineLvl w:val="9"/>
        <w:rPr>
          <w:sz w:val="26"/>
          <w:szCs w:val="26"/>
        </w:rPr>
      </w:pPr>
      <w:r w:rsidRPr="009B3B07">
        <w:rPr>
          <w:sz w:val="26"/>
          <w:szCs w:val="26"/>
        </w:rPr>
        <w:t>производимых в текущем году в соответствии с разовыми решениями о финансировании из районного бюджета;</w:t>
      </w:r>
    </w:p>
    <w:p w:rsidR="0074304B" w:rsidRPr="009B3B07" w:rsidRDefault="0074304B" w:rsidP="0074304B">
      <w:pPr>
        <w:pStyle w:val="21"/>
        <w:ind w:right="0"/>
        <w:outlineLvl w:val="9"/>
        <w:rPr>
          <w:sz w:val="26"/>
          <w:szCs w:val="26"/>
        </w:rPr>
      </w:pPr>
      <w:r w:rsidRPr="009B3B07">
        <w:rPr>
          <w:sz w:val="26"/>
          <w:szCs w:val="26"/>
        </w:rPr>
        <w:t xml:space="preserve">планируемых к сокращению по результатам проведения мероприятий по их оптимизации;   </w:t>
      </w:r>
    </w:p>
    <w:p w:rsidR="0074304B" w:rsidRPr="009B3B07" w:rsidRDefault="0074304B" w:rsidP="0074304B">
      <w:pPr>
        <w:pStyle w:val="21"/>
        <w:ind w:right="0"/>
        <w:outlineLvl w:val="9"/>
        <w:rPr>
          <w:sz w:val="26"/>
          <w:szCs w:val="26"/>
        </w:rPr>
      </w:pPr>
      <w:r w:rsidRPr="009B3B07">
        <w:rPr>
          <w:sz w:val="26"/>
          <w:szCs w:val="26"/>
        </w:rPr>
        <w:t>на реализацию нормативных правовых актов, срок действия которых завершается в текущем финансовом году;</w:t>
      </w:r>
    </w:p>
    <w:p w:rsidR="0074304B" w:rsidRPr="009B3B07" w:rsidRDefault="0074304B" w:rsidP="0074304B">
      <w:pPr>
        <w:pStyle w:val="21"/>
        <w:ind w:right="0"/>
        <w:outlineLvl w:val="9"/>
        <w:rPr>
          <w:sz w:val="26"/>
          <w:szCs w:val="26"/>
        </w:rPr>
      </w:pPr>
      <w:r w:rsidRPr="009B3B07">
        <w:rPr>
          <w:sz w:val="26"/>
          <w:szCs w:val="26"/>
        </w:rPr>
        <w:t>за счёт субвенций из федерального и областного бюджета на реализацию государственных полномочий Российской Федерации и субъекта Российской Федерации, а также субсидий, выделенных из местного бюджета дополнительно к объему бюджетных ассигнований текущего года;</w:t>
      </w:r>
    </w:p>
    <w:p w:rsidR="0074304B" w:rsidRPr="009B3B07" w:rsidRDefault="0074304B" w:rsidP="0074304B">
      <w:pPr>
        <w:pStyle w:val="21"/>
        <w:ind w:right="0"/>
        <w:outlineLvl w:val="9"/>
        <w:rPr>
          <w:sz w:val="26"/>
          <w:szCs w:val="26"/>
        </w:rPr>
      </w:pPr>
      <w:r w:rsidRPr="009B3B07">
        <w:rPr>
          <w:sz w:val="26"/>
          <w:szCs w:val="26"/>
        </w:rPr>
        <w:t>выделенных в текущем году на софинансирование областных средств, которые не подтверждены к предоставлению в 202</w:t>
      </w:r>
      <w:r>
        <w:rPr>
          <w:sz w:val="26"/>
          <w:szCs w:val="26"/>
        </w:rPr>
        <w:t>4</w:t>
      </w:r>
      <w:r w:rsidRPr="009B3B07">
        <w:rPr>
          <w:sz w:val="26"/>
          <w:szCs w:val="26"/>
        </w:rPr>
        <w:t xml:space="preserve"> году.</w:t>
      </w:r>
    </w:p>
    <w:p w:rsidR="0074304B" w:rsidRPr="009B3B07" w:rsidRDefault="0074304B" w:rsidP="0074304B">
      <w:pPr>
        <w:pStyle w:val="21"/>
        <w:ind w:right="0"/>
        <w:outlineLvl w:val="9"/>
        <w:rPr>
          <w:sz w:val="26"/>
          <w:szCs w:val="26"/>
        </w:rPr>
      </w:pPr>
    </w:p>
    <w:p w:rsidR="0074304B" w:rsidRPr="009B3B07" w:rsidRDefault="0074304B" w:rsidP="0074304B">
      <w:pPr>
        <w:pStyle w:val="a5"/>
        <w:jc w:val="center"/>
        <w:rPr>
          <w:sz w:val="26"/>
          <w:szCs w:val="26"/>
        </w:rPr>
      </w:pPr>
      <w:r w:rsidRPr="009B3B07">
        <w:rPr>
          <w:sz w:val="26"/>
          <w:szCs w:val="26"/>
          <w:lang w:val="en-US"/>
        </w:rPr>
        <w:t>II</w:t>
      </w:r>
      <w:r w:rsidRPr="009B3B07">
        <w:rPr>
          <w:sz w:val="26"/>
          <w:szCs w:val="26"/>
        </w:rPr>
        <w:t xml:space="preserve">. Методика и порядок планирования бюджетных ассигнований на исполнение действующих и отдельных принимаемых расходных обязательств </w:t>
      </w:r>
      <w:r>
        <w:rPr>
          <w:sz w:val="26"/>
          <w:szCs w:val="26"/>
        </w:rPr>
        <w:t>сельского поселения</w:t>
      </w:r>
    </w:p>
    <w:p w:rsidR="0074304B" w:rsidRPr="009B3B07" w:rsidRDefault="0074304B" w:rsidP="0074304B">
      <w:pPr>
        <w:pStyle w:val="a5"/>
        <w:jc w:val="center"/>
        <w:rPr>
          <w:sz w:val="26"/>
          <w:szCs w:val="26"/>
        </w:rPr>
      </w:pPr>
    </w:p>
    <w:p w:rsidR="0074304B" w:rsidRPr="009B3B07" w:rsidRDefault="0074304B" w:rsidP="0074304B">
      <w:pPr>
        <w:pStyle w:val="21"/>
        <w:ind w:right="0" w:firstLine="708"/>
        <w:outlineLvl w:val="9"/>
        <w:rPr>
          <w:snapToGrid w:val="0"/>
          <w:sz w:val="26"/>
          <w:szCs w:val="26"/>
        </w:rPr>
      </w:pPr>
      <w:r w:rsidRPr="009B3B07">
        <w:rPr>
          <w:snapToGrid w:val="0"/>
          <w:sz w:val="26"/>
          <w:szCs w:val="26"/>
        </w:rPr>
        <w:t>6. Объем бюджетных ассигнований на финансирование действующих обязательств, рассчитанный в соответствии с настоящей Методикой не может превышать предельного объема бюджетных ассигнований, доведенного Финансовым управлением администрации Увельского муниципального района (далее именуется – финансовое управление района) до главных распорядителей бюджетных средств.</w:t>
      </w:r>
    </w:p>
    <w:p w:rsidR="0074304B" w:rsidRPr="009B3B07" w:rsidRDefault="0074304B" w:rsidP="0074304B">
      <w:pPr>
        <w:pStyle w:val="21"/>
        <w:ind w:right="0" w:firstLine="708"/>
        <w:outlineLvl w:val="9"/>
        <w:rPr>
          <w:snapToGrid w:val="0"/>
          <w:sz w:val="26"/>
          <w:szCs w:val="26"/>
        </w:rPr>
      </w:pPr>
      <w:r w:rsidRPr="009B3B07">
        <w:rPr>
          <w:snapToGrid w:val="0"/>
          <w:sz w:val="26"/>
          <w:szCs w:val="26"/>
        </w:rPr>
        <w:t>Планирование бюджетных ассигнований на 202</w:t>
      </w:r>
      <w:r>
        <w:rPr>
          <w:snapToGrid w:val="0"/>
          <w:sz w:val="26"/>
          <w:szCs w:val="26"/>
        </w:rPr>
        <w:t>4</w:t>
      </w:r>
      <w:r w:rsidRPr="009B3B07">
        <w:rPr>
          <w:snapToGrid w:val="0"/>
          <w:sz w:val="26"/>
          <w:szCs w:val="26"/>
        </w:rPr>
        <w:t xml:space="preserve"> год и на плановый период 202</w:t>
      </w:r>
      <w:r>
        <w:rPr>
          <w:snapToGrid w:val="0"/>
          <w:sz w:val="26"/>
          <w:szCs w:val="26"/>
        </w:rPr>
        <w:t>5</w:t>
      </w:r>
      <w:r w:rsidRPr="009B3B07">
        <w:rPr>
          <w:snapToGrid w:val="0"/>
          <w:sz w:val="26"/>
          <w:szCs w:val="26"/>
        </w:rPr>
        <w:t xml:space="preserve"> и 202</w:t>
      </w:r>
      <w:r>
        <w:rPr>
          <w:snapToGrid w:val="0"/>
          <w:sz w:val="26"/>
          <w:szCs w:val="26"/>
        </w:rPr>
        <w:t>6</w:t>
      </w:r>
      <w:r w:rsidRPr="009B3B07">
        <w:rPr>
          <w:snapToGrid w:val="0"/>
          <w:sz w:val="26"/>
          <w:szCs w:val="26"/>
        </w:rPr>
        <w:t xml:space="preserve"> годов на исполнение действующих обязательств в соответствии с настоящей Методикой допускается только в том случае, если существует действующий нормативный правой акт, соглашение, договор, устанавливающий расходное обязательство.</w:t>
      </w:r>
    </w:p>
    <w:p w:rsidR="0074304B" w:rsidRPr="009B3B07" w:rsidRDefault="0074304B" w:rsidP="0074304B">
      <w:pPr>
        <w:pStyle w:val="21"/>
        <w:ind w:right="0" w:firstLine="708"/>
        <w:outlineLvl w:val="9"/>
        <w:rPr>
          <w:snapToGrid w:val="0"/>
          <w:sz w:val="26"/>
          <w:szCs w:val="26"/>
        </w:rPr>
      </w:pPr>
      <w:r w:rsidRPr="009B3B07">
        <w:rPr>
          <w:snapToGrid w:val="0"/>
          <w:sz w:val="26"/>
          <w:szCs w:val="26"/>
        </w:rPr>
        <w:lastRenderedPageBreak/>
        <w:t>7. Главные распорядители бюджетных средств, в рамках бюджетных полномочий (ст.158 Бюджетного кодекса РФ) осуществляют планирование соответствующих расходов бюджета, составляют обоснование бюджетных ассигнований, обеспечивают результативность, адресность и целевой характер использования бюджетных средств.</w:t>
      </w:r>
    </w:p>
    <w:p w:rsidR="0074304B" w:rsidRPr="009B3B07" w:rsidRDefault="0074304B" w:rsidP="0074304B">
      <w:pPr>
        <w:pStyle w:val="21"/>
        <w:ind w:right="0" w:firstLine="708"/>
        <w:outlineLvl w:val="9"/>
        <w:rPr>
          <w:snapToGrid w:val="0"/>
          <w:sz w:val="26"/>
          <w:szCs w:val="26"/>
        </w:rPr>
      </w:pPr>
      <w:r w:rsidRPr="009B3B07">
        <w:rPr>
          <w:snapToGrid w:val="0"/>
          <w:sz w:val="26"/>
          <w:szCs w:val="26"/>
        </w:rPr>
        <w:t>8. В целях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порядке, формирование субвенций из областного фонда компенсаций осуществляется главными распорядителями бюджетных средств в соответствии с методиками, утвержденными соответствующими областными законами (или их проектами).</w:t>
      </w:r>
    </w:p>
    <w:p w:rsidR="0074304B" w:rsidRPr="009B3B07" w:rsidRDefault="0074304B" w:rsidP="0074304B">
      <w:pPr>
        <w:pStyle w:val="21"/>
        <w:ind w:right="0" w:firstLine="708"/>
        <w:outlineLvl w:val="9"/>
        <w:rPr>
          <w:snapToGrid w:val="0"/>
          <w:sz w:val="26"/>
          <w:szCs w:val="26"/>
        </w:rPr>
      </w:pPr>
      <w:r w:rsidRPr="009B3B07">
        <w:rPr>
          <w:snapToGrid w:val="0"/>
          <w:sz w:val="26"/>
          <w:szCs w:val="26"/>
        </w:rPr>
        <w:t>9. При расчете фонда оплаты труда на 202</w:t>
      </w:r>
      <w:r>
        <w:rPr>
          <w:snapToGrid w:val="0"/>
          <w:sz w:val="26"/>
          <w:szCs w:val="26"/>
        </w:rPr>
        <w:t>4</w:t>
      </w:r>
      <w:r w:rsidRPr="009B3B07">
        <w:rPr>
          <w:snapToGrid w:val="0"/>
          <w:sz w:val="26"/>
          <w:szCs w:val="26"/>
        </w:rPr>
        <w:t xml:space="preserve"> год и на плановый период 202</w:t>
      </w:r>
      <w:r>
        <w:rPr>
          <w:snapToGrid w:val="0"/>
          <w:sz w:val="26"/>
          <w:szCs w:val="26"/>
        </w:rPr>
        <w:t>5</w:t>
      </w:r>
      <w:r w:rsidRPr="009B3B07">
        <w:rPr>
          <w:snapToGrid w:val="0"/>
          <w:sz w:val="26"/>
          <w:szCs w:val="26"/>
        </w:rPr>
        <w:t xml:space="preserve"> и 202</w:t>
      </w:r>
      <w:r>
        <w:rPr>
          <w:snapToGrid w:val="0"/>
          <w:sz w:val="26"/>
          <w:szCs w:val="26"/>
        </w:rPr>
        <w:t xml:space="preserve">6 </w:t>
      </w:r>
      <w:r w:rsidRPr="009B3B07">
        <w:rPr>
          <w:snapToGrid w:val="0"/>
          <w:sz w:val="26"/>
          <w:szCs w:val="26"/>
        </w:rPr>
        <w:t xml:space="preserve">годов применяются условия оплаты, установленные действующими нормативными правовыми актами на основе бюджетных ассигнований текущего года. </w:t>
      </w:r>
    </w:p>
    <w:p w:rsidR="0074304B" w:rsidRPr="009B3B07" w:rsidRDefault="0074304B" w:rsidP="0074304B">
      <w:pPr>
        <w:pStyle w:val="21"/>
        <w:ind w:right="0" w:firstLine="708"/>
        <w:outlineLvl w:val="9"/>
        <w:rPr>
          <w:snapToGrid w:val="0"/>
          <w:sz w:val="26"/>
          <w:szCs w:val="26"/>
        </w:rPr>
      </w:pPr>
      <w:r w:rsidRPr="009B3B07">
        <w:rPr>
          <w:snapToGrid w:val="0"/>
          <w:sz w:val="26"/>
          <w:szCs w:val="26"/>
        </w:rPr>
        <w:t>Фонд оплаты труда работников аппарата управления по категории муниципальные служащие и выборные должности предусмотрен на 202</w:t>
      </w:r>
      <w:r>
        <w:rPr>
          <w:snapToGrid w:val="0"/>
          <w:sz w:val="26"/>
          <w:szCs w:val="26"/>
        </w:rPr>
        <w:t>4</w:t>
      </w:r>
      <w:r w:rsidRPr="009B3B07">
        <w:rPr>
          <w:snapToGrid w:val="0"/>
          <w:sz w:val="26"/>
          <w:szCs w:val="26"/>
        </w:rPr>
        <w:t xml:space="preserve"> год в пределах норматива на оплату труда.</w:t>
      </w:r>
    </w:p>
    <w:p w:rsidR="0074304B" w:rsidRPr="009B3B07" w:rsidRDefault="0074304B" w:rsidP="0074304B">
      <w:pPr>
        <w:pStyle w:val="21"/>
        <w:ind w:right="0" w:firstLine="708"/>
        <w:outlineLvl w:val="9"/>
        <w:rPr>
          <w:snapToGrid w:val="0"/>
          <w:sz w:val="26"/>
          <w:szCs w:val="26"/>
        </w:rPr>
      </w:pPr>
      <w:r w:rsidRPr="009B3B07">
        <w:rPr>
          <w:snapToGrid w:val="0"/>
          <w:sz w:val="26"/>
          <w:szCs w:val="26"/>
        </w:rPr>
        <w:t xml:space="preserve">При расчете расходов на оплату труда работников учреждений культуры учитывается действующий порядок выполнения показателей повышения оплаты труда работников. </w:t>
      </w:r>
    </w:p>
    <w:p w:rsidR="0074304B" w:rsidRPr="009B3B07" w:rsidRDefault="0074304B" w:rsidP="0074304B">
      <w:pPr>
        <w:pStyle w:val="21"/>
        <w:ind w:right="0" w:firstLine="708"/>
        <w:outlineLvl w:val="9"/>
        <w:rPr>
          <w:snapToGrid w:val="0"/>
          <w:sz w:val="26"/>
          <w:szCs w:val="26"/>
        </w:rPr>
      </w:pPr>
      <w:r w:rsidRPr="009B3B07">
        <w:rPr>
          <w:snapToGrid w:val="0"/>
          <w:sz w:val="26"/>
          <w:szCs w:val="26"/>
        </w:rPr>
        <w:t>Фонд оплаты труда работников бюджетной сферы определяется с учетом увеличения минимального размера оплаты труда с 1 января 202</w:t>
      </w:r>
      <w:r>
        <w:rPr>
          <w:snapToGrid w:val="0"/>
          <w:sz w:val="26"/>
          <w:szCs w:val="26"/>
        </w:rPr>
        <w:t>4</w:t>
      </w:r>
      <w:r w:rsidRPr="009B3B07">
        <w:rPr>
          <w:snapToGrid w:val="0"/>
          <w:sz w:val="26"/>
          <w:szCs w:val="26"/>
        </w:rPr>
        <w:t xml:space="preserve"> года до </w:t>
      </w:r>
      <w:r>
        <w:rPr>
          <w:snapToGrid w:val="0"/>
          <w:sz w:val="26"/>
          <w:szCs w:val="26"/>
        </w:rPr>
        <w:t>22 128,30</w:t>
      </w:r>
      <w:r w:rsidRPr="009B3B07">
        <w:rPr>
          <w:snapToGrid w:val="0"/>
          <w:sz w:val="26"/>
          <w:szCs w:val="26"/>
        </w:rPr>
        <w:t xml:space="preserve"> рублей (с учетом уральского коэффициента) и начислений на выплаты по оплате труда в размере 30,2% (включая тарифы страховых взносов на обязательное страхование от несчастных случаев на производстве и профессиональных заболеваний в размере 0,2%).</w:t>
      </w:r>
    </w:p>
    <w:p w:rsidR="0074304B" w:rsidRPr="009B3B07" w:rsidRDefault="0074304B" w:rsidP="0074304B">
      <w:pPr>
        <w:pStyle w:val="21"/>
        <w:ind w:right="0" w:firstLine="708"/>
        <w:outlineLvl w:val="9"/>
        <w:rPr>
          <w:snapToGrid w:val="0"/>
          <w:sz w:val="26"/>
          <w:szCs w:val="26"/>
        </w:rPr>
      </w:pPr>
      <w:r w:rsidRPr="009B3B07">
        <w:rPr>
          <w:snapToGrid w:val="0"/>
          <w:sz w:val="26"/>
          <w:szCs w:val="26"/>
        </w:rPr>
        <w:t xml:space="preserve">В расчете фонда оплаты труда работников учреждений культуры, относящихся к основному персоналу, применяется индикативный показатель размера заработной платы в объеме </w:t>
      </w:r>
      <w:r>
        <w:rPr>
          <w:snapToGrid w:val="0"/>
          <w:sz w:val="26"/>
          <w:szCs w:val="26"/>
        </w:rPr>
        <w:t>38 205,52</w:t>
      </w:r>
      <w:r w:rsidRPr="009B3B07">
        <w:rPr>
          <w:snapToGrid w:val="0"/>
          <w:sz w:val="26"/>
          <w:szCs w:val="26"/>
        </w:rPr>
        <w:t xml:space="preserve"> рублей.</w:t>
      </w:r>
    </w:p>
    <w:p w:rsidR="0074304B" w:rsidRPr="009B3B07" w:rsidRDefault="0074304B" w:rsidP="0074304B">
      <w:pPr>
        <w:pStyle w:val="21"/>
        <w:ind w:right="0" w:firstLine="708"/>
        <w:outlineLvl w:val="9"/>
        <w:rPr>
          <w:snapToGrid w:val="0"/>
          <w:sz w:val="26"/>
          <w:szCs w:val="26"/>
        </w:rPr>
      </w:pPr>
      <w:r w:rsidRPr="009B3B07">
        <w:rPr>
          <w:snapToGrid w:val="0"/>
          <w:sz w:val="26"/>
          <w:szCs w:val="26"/>
        </w:rPr>
        <w:t xml:space="preserve">Расчет фонда оплаты труда работников учреждений культуры, относящихся к основному персоналу и принятых на условиях внешнего совмещения, произведен исходя из минимального размера оплаты труда, установленного законодательством в размере </w:t>
      </w:r>
      <w:r>
        <w:rPr>
          <w:snapToGrid w:val="0"/>
          <w:sz w:val="26"/>
          <w:szCs w:val="26"/>
        </w:rPr>
        <w:t>22 128,30</w:t>
      </w:r>
      <w:r w:rsidRPr="009B3B07">
        <w:rPr>
          <w:snapToGrid w:val="0"/>
          <w:sz w:val="26"/>
          <w:szCs w:val="26"/>
        </w:rPr>
        <w:t xml:space="preserve"> рублей (с учетом уральского коэффициента).</w:t>
      </w:r>
    </w:p>
    <w:p w:rsidR="0074304B" w:rsidRPr="009B3B07" w:rsidRDefault="0074304B" w:rsidP="0074304B">
      <w:pPr>
        <w:pStyle w:val="21"/>
        <w:ind w:right="0" w:firstLine="708"/>
        <w:outlineLvl w:val="9"/>
        <w:rPr>
          <w:snapToGrid w:val="0"/>
          <w:sz w:val="26"/>
          <w:szCs w:val="26"/>
        </w:rPr>
      </w:pPr>
      <w:r w:rsidRPr="009B3B07">
        <w:rPr>
          <w:snapToGrid w:val="0"/>
          <w:sz w:val="26"/>
          <w:szCs w:val="26"/>
        </w:rPr>
        <w:t xml:space="preserve">В течении финансового года возможен пересмотр (перерасчет) фонда оплаты труда работников муниципальных учреждений по результатам отчетов (формы ЗП-культура «Сведения о численности и оплате труда работников сферы культуры по категориям персонала») и утвержденной штатной численности работников учреждений культуры. </w:t>
      </w:r>
    </w:p>
    <w:p w:rsidR="0074304B" w:rsidRPr="009B3B07" w:rsidRDefault="0074304B" w:rsidP="0074304B">
      <w:pPr>
        <w:pStyle w:val="21"/>
        <w:ind w:right="0" w:firstLine="708"/>
        <w:outlineLvl w:val="9"/>
        <w:rPr>
          <w:snapToGrid w:val="0"/>
          <w:sz w:val="26"/>
          <w:szCs w:val="26"/>
        </w:rPr>
      </w:pPr>
      <w:r w:rsidRPr="009B3B07">
        <w:rPr>
          <w:snapToGrid w:val="0"/>
          <w:sz w:val="26"/>
          <w:szCs w:val="26"/>
        </w:rPr>
        <w:t>Также при расчете фонда оплаты труда работникам учреждений культуры по собственным полномочиям учтена выплата ежемесячной надбавки к должностному окладу за выслугу лет.</w:t>
      </w:r>
    </w:p>
    <w:p w:rsidR="0074304B" w:rsidRPr="009B3B07" w:rsidRDefault="0074304B" w:rsidP="0074304B">
      <w:pPr>
        <w:pStyle w:val="21"/>
        <w:ind w:right="0" w:firstLine="708"/>
        <w:outlineLvl w:val="9"/>
        <w:rPr>
          <w:snapToGrid w:val="0"/>
          <w:sz w:val="26"/>
          <w:szCs w:val="26"/>
        </w:rPr>
      </w:pPr>
      <w:r w:rsidRPr="009B3B07">
        <w:rPr>
          <w:snapToGrid w:val="0"/>
          <w:sz w:val="26"/>
          <w:szCs w:val="26"/>
        </w:rPr>
        <w:t>Расчет доплаты за час работы в ночное время работникам учреждений культуры, занимающим должность «Сторож» произведен в размере 35% к средней часовой ставке.</w:t>
      </w:r>
    </w:p>
    <w:p w:rsidR="0074304B" w:rsidRPr="009B3B07" w:rsidRDefault="0074304B" w:rsidP="0074304B">
      <w:pPr>
        <w:pStyle w:val="21"/>
        <w:ind w:right="0" w:firstLine="708"/>
        <w:outlineLvl w:val="9"/>
        <w:rPr>
          <w:snapToGrid w:val="0"/>
          <w:sz w:val="26"/>
          <w:szCs w:val="26"/>
        </w:rPr>
      </w:pPr>
      <w:r w:rsidRPr="009B3B07">
        <w:rPr>
          <w:snapToGrid w:val="0"/>
          <w:sz w:val="26"/>
          <w:szCs w:val="26"/>
        </w:rPr>
        <w:t xml:space="preserve">Расчет оплаты труда в выходные и праздничные дни работникам учреждений культуры, занимающим должность «Сторож» произведен с учетом </w:t>
      </w:r>
      <w:r w:rsidRPr="009B3B07">
        <w:rPr>
          <w:snapToGrid w:val="0"/>
          <w:sz w:val="26"/>
          <w:szCs w:val="26"/>
        </w:rPr>
        <w:lastRenderedPageBreak/>
        <w:t>расчетного показателя средней часовой ставки и количества выходных и праздничных дней согласно «Производственного календаря на 202</w:t>
      </w:r>
      <w:r>
        <w:rPr>
          <w:snapToGrid w:val="0"/>
          <w:sz w:val="26"/>
          <w:szCs w:val="26"/>
        </w:rPr>
        <w:t>4</w:t>
      </w:r>
      <w:r w:rsidRPr="009B3B07">
        <w:rPr>
          <w:snapToGrid w:val="0"/>
          <w:sz w:val="26"/>
          <w:szCs w:val="26"/>
        </w:rPr>
        <w:t xml:space="preserve"> год».</w:t>
      </w:r>
    </w:p>
    <w:p w:rsidR="0074304B" w:rsidRPr="009B3B07" w:rsidRDefault="0074304B" w:rsidP="0074304B">
      <w:pPr>
        <w:pStyle w:val="21"/>
        <w:ind w:right="0" w:firstLine="708"/>
        <w:outlineLvl w:val="9"/>
        <w:rPr>
          <w:snapToGrid w:val="0"/>
          <w:sz w:val="26"/>
          <w:szCs w:val="26"/>
        </w:rPr>
      </w:pPr>
      <w:r w:rsidRPr="009B3B07">
        <w:rPr>
          <w:snapToGrid w:val="0"/>
          <w:sz w:val="26"/>
          <w:szCs w:val="26"/>
        </w:rPr>
        <w:t>10. Расходы на оплату коммунальных услуг на 202</w:t>
      </w:r>
      <w:r>
        <w:rPr>
          <w:snapToGrid w:val="0"/>
          <w:sz w:val="26"/>
          <w:szCs w:val="26"/>
        </w:rPr>
        <w:t>4</w:t>
      </w:r>
      <w:r w:rsidRPr="009B3B07">
        <w:rPr>
          <w:snapToGrid w:val="0"/>
          <w:sz w:val="26"/>
          <w:szCs w:val="26"/>
        </w:rPr>
        <w:t xml:space="preserve"> год и на плановый период 202</w:t>
      </w:r>
      <w:r>
        <w:rPr>
          <w:snapToGrid w:val="0"/>
          <w:sz w:val="26"/>
          <w:szCs w:val="26"/>
        </w:rPr>
        <w:t>5</w:t>
      </w:r>
      <w:r w:rsidRPr="009B3B07">
        <w:rPr>
          <w:snapToGrid w:val="0"/>
          <w:sz w:val="26"/>
          <w:szCs w:val="26"/>
        </w:rPr>
        <w:t xml:space="preserve"> и 202</w:t>
      </w:r>
      <w:r>
        <w:rPr>
          <w:snapToGrid w:val="0"/>
          <w:sz w:val="26"/>
          <w:szCs w:val="26"/>
        </w:rPr>
        <w:t>6</w:t>
      </w:r>
      <w:r w:rsidRPr="009B3B07">
        <w:rPr>
          <w:snapToGrid w:val="0"/>
          <w:sz w:val="26"/>
          <w:szCs w:val="26"/>
        </w:rPr>
        <w:t xml:space="preserve"> годов формируются следующим образом: фактическое потребление топливно-энергетических ресурсов (далее ТЭР) за 20</w:t>
      </w:r>
      <w:r>
        <w:rPr>
          <w:snapToGrid w:val="0"/>
          <w:sz w:val="26"/>
          <w:szCs w:val="26"/>
        </w:rPr>
        <w:t>22</w:t>
      </w:r>
      <w:r w:rsidRPr="009B3B07">
        <w:rPr>
          <w:snapToGrid w:val="0"/>
          <w:sz w:val="26"/>
          <w:szCs w:val="26"/>
        </w:rPr>
        <w:t xml:space="preserve"> год, отраженное в годовой бухгалтерской отчетности за предыдущий отчетный период, предшествующий текущему году; плюс изменения  в суммовом выражении объемов потребления ТЭР, утвержденные распоряжением УЖКХ на 202</w:t>
      </w:r>
      <w:r>
        <w:rPr>
          <w:snapToGrid w:val="0"/>
          <w:sz w:val="26"/>
          <w:szCs w:val="26"/>
        </w:rPr>
        <w:t>3</w:t>
      </w:r>
      <w:r w:rsidRPr="009B3B07">
        <w:rPr>
          <w:snapToGrid w:val="0"/>
          <w:sz w:val="26"/>
          <w:szCs w:val="26"/>
        </w:rPr>
        <w:t xml:space="preserve"> год; минус кредиторская задолженность на 1 января 20</w:t>
      </w:r>
      <w:r>
        <w:rPr>
          <w:snapToGrid w:val="0"/>
          <w:sz w:val="26"/>
          <w:szCs w:val="26"/>
        </w:rPr>
        <w:t>23</w:t>
      </w:r>
      <w:r w:rsidRPr="009B3B07">
        <w:rPr>
          <w:snapToGrid w:val="0"/>
          <w:sz w:val="26"/>
          <w:szCs w:val="26"/>
        </w:rPr>
        <w:t xml:space="preserve"> года; плюс кредиторская задолженность на 1 января 202</w:t>
      </w:r>
      <w:r>
        <w:rPr>
          <w:snapToGrid w:val="0"/>
          <w:sz w:val="26"/>
          <w:szCs w:val="26"/>
        </w:rPr>
        <w:t>3</w:t>
      </w:r>
      <w:r w:rsidRPr="009B3B07">
        <w:rPr>
          <w:snapToGrid w:val="0"/>
          <w:sz w:val="26"/>
          <w:szCs w:val="26"/>
        </w:rPr>
        <w:t xml:space="preserve"> года; плюс изменения объемов денежных средств на расходы по ТЭР по заключенным договорам в текущем году (по периодам) в части тепловой энергии по регулируемым тарифам, утвержденным отдельными Постановлениями Министерства тарифного регулирования и энергетики Челябинской области на 202</w:t>
      </w:r>
      <w:r>
        <w:rPr>
          <w:snapToGrid w:val="0"/>
          <w:sz w:val="26"/>
          <w:szCs w:val="26"/>
        </w:rPr>
        <w:t>4</w:t>
      </w:r>
      <w:r w:rsidRPr="009B3B07">
        <w:rPr>
          <w:snapToGrid w:val="0"/>
          <w:sz w:val="26"/>
          <w:szCs w:val="26"/>
        </w:rPr>
        <w:t>-202</w:t>
      </w:r>
      <w:r>
        <w:rPr>
          <w:snapToGrid w:val="0"/>
          <w:sz w:val="26"/>
          <w:szCs w:val="26"/>
        </w:rPr>
        <w:t>6</w:t>
      </w:r>
      <w:r w:rsidRPr="009B3B07">
        <w:rPr>
          <w:snapToGrid w:val="0"/>
          <w:sz w:val="26"/>
          <w:szCs w:val="26"/>
        </w:rPr>
        <w:t xml:space="preserve"> годы по отельным ресурсоснабжающим организациям, с учетом индекса роста тарифа 202</w:t>
      </w:r>
      <w:r>
        <w:rPr>
          <w:snapToGrid w:val="0"/>
          <w:sz w:val="26"/>
          <w:szCs w:val="26"/>
        </w:rPr>
        <w:t>4</w:t>
      </w:r>
      <w:r w:rsidRPr="009B3B07">
        <w:rPr>
          <w:snapToGrid w:val="0"/>
          <w:sz w:val="26"/>
          <w:szCs w:val="26"/>
        </w:rPr>
        <w:t xml:space="preserve"> года и на плановый период 202</w:t>
      </w:r>
      <w:r>
        <w:rPr>
          <w:snapToGrid w:val="0"/>
          <w:sz w:val="26"/>
          <w:szCs w:val="26"/>
        </w:rPr>
        <w:t>5</w:t>
      </w:r>
      <w:r w:rsidRPr="009B3B07">
        <w:rPr>
          <w:snapToGrid w:val="0"/>
          <w:sz w:val="26"/>
          <w:szCs w:val="26"/>
        </w:rPr>
        <w:t xml:space="preserve"> и 202</w:t>
      </w:r>
      <w:r>
        <w:rPr>
          <w:snapToGrid w:val="0"/>
          <w:sz w:val="26"/>
          <w:szCs w:val="26"/>
        </w:rPr>
        <w:t>6</w:t>
      </w:r>
      <w:r w:rsidRPr="009B3B07">
        <w:rPr>
          <w:snapToGrid w:val="0"/>
          <w:sz w:val="26"/>
          <w:szCs w:val="26"/>
        </w:rPr>
        <w:t xml:space="preserve"> годов  на энергоресурсы, представленные   Государственным комитетом «Единый тарифный орган Челябинской области» (далее ЕТО); плюс увеличение объемов потребления ТЭР в суммовом выражении с учетом постановки на учет муниципальных учреждений нового объекта недвижимого имущества в суммовом выражении.</w:t>
      </w:r>
    </w:p>
    <w:p w:rsidR="0074304B" w:rsidRDefault="0074304B" w:rsidP="0074304B">
      <w:pPr>
        <w:pStyle w:val="21"/>
        <w:ind w:right="0" w:firstLine="708"/>
        <w:outlineLvl w:val="9"/>
        <w:rPr>
          <w:snapToGrid w:val="0"/>
          <w:sz w:val="26"/>
          <w:szCs w:val="26"/>
        </w:rPr>
      </w:pPr>
      <w:r w:rsidRPr="009B3B07">
        <w:rPr>
          <w:snapToGrid w:val="0"/>
          <w:sz w:val="26"/>
          <w:szCs w:val="26"/>
        </w:rPr>
        <w:t>Прогнозные индексы роста тарифов на энергоресурсы на 202</w:t>
      </w:r>
      <w:r>
        <w:rPr>
          <w:snapToGrid w:val="0"/>
          <w:sz w:val="26"/>
          <w:szCs w:val="26"/>
        </w:rPr>
        <w:t>4</w:t>
      </w:r>
      <w:r w:rsidRPr="009B3B07">
        <w:rPr>
          <w:snapToGrid w:val="0"/>
          <w:sz w:val="26"/>
          <w:szCs w:val="26"/>
        </w:rPr>
        <w:t xml:space="preserve"> год и на плановый период 202</w:t>
      </w:r>
      <w:r>
        <w:rPr>
          <w:snapToGrid w:val="0"/>
          <w:sz w:val="26"/>
          <w:szCs w:val="26"/>
        </w:rPr>
        <w:t>5 и 2026</w:t>
      </w:r>
      <w:r w:rsidRPr="009B3B07">
        <w:rPr>
          <w:snapToGrid w:val="0"/>
          <w:sz w:val="26"/>
          <w:szCs w:val="26"/>
        </w:rPr>
        <w:t xml:space="preserve"> годов для учреждений, финансируемых из бюджетов муниципальных образований, представлены Государственным комитетом «Единый тарифный орган Челябинской области»</w:t>
      </w:r>
      <w:r>
        <w:rPr>
          <w:snapToGrid w:val="0"/>
          <w:sz w:val="26"/>
          <w:szCs w:val="26"/>
        </w:rPr>
        <w:t>.</w:t>
      </w:r>
    </w:p>
    <w:p w:rsidR="0074304B" w:rsidRPr="009B3B07" w:rsidRDefault="0074304B" w:rsidP="0074304B">
      <w:pPr>
        <w:pStyle w:val="21"/>
        <w:ind w:right="0" w:firstLine="708"/>
        <w:outlineLvl w:val="9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Рост тарифов в электроэнергетике, в сферах газо-, тепло-, водоснабжения и водоотведения составляют 6,3% на 2024 год и плановый период 2025 и 2026 годов.</w:t>
      </w:r>
    </w:p>
    <w:p w:rsidR="0074304B" w:rsidRPr="009B3B07" w:rsidRDefault="0074304B" w:rsidP="0074304B">
      <w:pPr>
        <w:pStyle w:val="21"/>
        <w:ind w:right="0"/>
        <w:outlineLvl w:val="9"/>
        <w:rPr>
          <w:snapToGrid w:val="0"/>
          <w:sz w:val="26"/>
          <w:szCs w:val="26"/>
        </w:rPr>
      </w:pPr>
      <w:r w:rsidRPr="009B3B07">
        <w:rPr>
          <w:snapToGrid w:val="0"/>
          <w:sz w:val="26"/>
          <w:szCs w:val="26"/>
        </w:rPr>
        <w:t>11. Бюджетные ассигнования на уплату налога на имущество и транспортного налога рассчитываются иным методом в соответствии с налоговым законодательством путем умножения налоговой базы на ставку налога с учетом установленных сроков уплаты.</w:t>
      </w:r>
    </w:p>
    <w:p w:rsidR="0074304B" w:rsidRPr="009B3B07" w:rsidRDefault="0074304B" w:rsidP="0074304B">
      <w:pPr>
        <w:pStyle w:val="21"/>
        <w:ind w:right="0"/>
        <w:outlineLvl w:val="9"/>
        <w:rPr>
          <w:snapToGrid w:val="0"/>
          <w:sz w:val="26"/>
          <w:szCs w:val="26"/>
        </w:rPr>
      </w:pPr>
      <w:r w:rsidRPr="009B3B07">
        <w:rPr>
          <w:snapToGrid w:val="0"/>
          <w:sz w:val="26"/>
          <w:szCs w:val="26"/>
        </w:rPr>
        <w:t>12. Объемы бюджетных ассигнований на закупку товаров, работ и услуг для обеспечения муниципальных нужд, а также иные бюджетные ассигнования на обеспечение бесперебойного функционирования муниципальных учреждений, органов местного самоуправления и их структурных подразделений рассчитываются на основе показателей первоначальных бюджетных смет на 20</w:t>
      </w:r>
      <w:r>
        <w:rPr>
          <w:snapToGrid w:val="0"/>
          <w:sz w:val="26"/>
          <w:szCs w:val="26"/>
        </w:rPr>
        <w:t>23</w:t>
      </w:r>
      <w:r w:rsidRPr="009B3B07">
        <w:rPr>
          <w:snapToGrid w:val="0"/>
          <w:sz w:val="26"/>
          <w:szCs w:val="26"/>
        </w:rPr>
        <w:t xml:space="preserve"> год</w:t>
      </w:r>
      <w:r>
        <w:rPr>
          <w:snapToGrid w:val="0"/>
          <w:sz w:val="26"/>
          <w:szCs w:val="26"/>
        </w:rPr>
        <w:t>.</w:t>
      </w:r>
    </w:p>
    <w:p w:rsidR="0074304B" w:rsidRPr="009B3B07" w:rsidRDefault="0074304B" w:rsidP="0074304B">
      <w:pPr>
        <w:pStyle w:val="21"/>
        <w:ind w:right="0" w:firstLine="708"/>
        <w:outlineLvl w:val="9"/>
        <w:rPr>
          <w:snapToGrid w:val="0"/>
          <w:sz w:val="26"/>
          <w:szCs w:val="26"/>
        </w:rPr>
      </w:pPr>
      <w:r w:rsidRPr="009B3B07">
        <w:rPr>
          <w:sz w:val="26"/>
          <w:szCs w:val="26"/>
        </w:rPr>
        <w:t xml:space="preserve">13. Объем бюджетных ассигнований на реализацию муниципальных программ, проведение мероприятий и иные цели, определяется иным методом </w:t>
      </w:r>
      <w:r w:rsidRPr="009B3B07">
        <w:rPr>
          <w:snapToGrid w:val="0"/>
          <w:sz w:val="26"/>
          <w:szCs w:val="26"/>
        </w:rPr>
        <w:t xml:space="preserve">и включается в состав принимаемых расходных обязательств сельского поселения, распределяемых на межведомственной бюджетной комиссии с учетом их предполагаемой эффективности. </w:t>
      </w:r>
    </w:p>
    <w:p w:rsidR="0074304B" w:rsidRPr="009B3B07" w:rsidRDefault="0074304B" w:rsidP="0074304B">
      <w:pPr>
        <w:pStyle w:val="21"/>
        <w:ind w:right="0"/>
        <w:outlineLvl w:val="9"/>
        <w:rPr>
          <w:snapToGrid w:val="0"/>
          <w:sz w:val="26"/>
          <w:szCs w:val="26"/>
        </w:rPr>
      </w:pPr>
      <w:r w:rsidRPr="009B3B07">
        <w:rPr>
          <w:snapToGrid w:val="0"/>
          <w:sz w:val="26"/>
          <w:szCs w:val="26"/>
        </w:rPr>
        <w:t>14. Объем бюджетных ассигнований на исполнение действующих и принимаемых расходных обязательств, рассчитанный в соответствии с пунктами 6-16 настоящей Методики может быть скорректирован с учетом намечаемых мероприятий по изменению бюджетной сети, изменения структуры расходов и функций главных распорядителей бюджетных средств, а также предполагаемых изменений нормативных правовых актов.</w:t>
      </w:r>
    </w:p>
    <w:p w:rsidR="0074304B" w:rsidRPr="009B3B07" w:rsidRDefault="0074304B" w:rsidP="0074304B">
      <w:pPr>
        <w:pStyle w:val="21"/>
        <w:ind w:right="0"/>
        <w:jc w:val="center"/>
        <w:outlineLvl w:val="9"/>
        <w:rPr>
          <w:b/>
          <w:sz w:val="26"/>
          <w:szCs w:val="26"/>
        </w:rPr>
      </w:pPr>
    </w:p>
    <w:p w:rsidR="0074304B" w:rsidRPr="009B3B07" w:rsidRDefault="0074304B" w:rsidP="0074304B">
      <w:pPr>
        <w:pStyle w:val="a5"/>
        <w:ind w:firstLine="720"/>
        <w:jc w:val="center"/>
        <w:rPr>
          <w:sz w:val="26"/>
          <w:szCs w:val="26"/>
        </w:rPr>
      </w:pPr>
      <w:r w:rsidRPr="009B3B07">
        <w:rPr>
          <w:sz w:val="26"/>
          <w:szCs w:val="26"/>
          <w:lang w:val="en-US"/>
        </w:rPr>
        <w:lastRenderedPageBreak/>
        <w:t>III</w:t>
      </w:r>
      <w:r w:rsidRPr="009B3B07">
        <w:rPr>
          <w:sz w:val="26"/>
          <w:szCs w:val="26"/>
        </w:rPr>
        <w:t>. Составление пояснительной записки в части, касающейся бюджетных ассигнований главного распорядителя средств бюджета сельского поселения на 202</w:t>
      </w:r>
      <w:r>
        <w:rPr>
          <w:sz w:val="26"/>
          <w:szCs w:val="26"/>
        </w:rPr>
        <w:t>4</w:t>
      </w:r>
      <w:r w:rsidRPr="009B3B07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5</w:t>
      </w:r>
      <w:r w:rsidRPr="009B3B07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9B3B07">
        <w:rPr>
          <w:sz w:val="26"/>
          <w:szCs w:val="26"/>
        </w:rPr>
        <w:t xml:space="preserve"> годов</w:t>
      </w:r>
    </w:p>
    <w:p w:rsidR="0074304B" w:rsidRPr="009B3B07" w:rsidRDefault="0074304B" w:rsidP="0074304B">
      <w:pPr>
        <w:pStyle w:val="a5"/>
        <w:ind w:firstLine="720"/>
        <w:jc w:val="center"/>
        <w:rPr>
          <w:sz w:val="26"/>
          <w:szCs w:val="26"/>
        </w:rPr>
      </w:pPr>
    </w:p>
    <w:p w:rsidR="0074304B" w:rsidRPr="009B3B07" w:rsidRDefault="0074304B" w:rsidP="0074304B">
      <w:pPr>
        <w:pStyle w:val="a5"/>
        <w:ind w:firstLine="720"/>
        <w:jc w:val="both"/>
        <w:rPr>
          <w:sz w:val="26"/>
          <w:szCs w:val="26"/>
        </w:rPr>
      </w:pPr>
      <w:r w:rsidRPr="009B3B07">
        <w:rPr>
          <w:sz w:val="26"/>
          <w:szCs w:val="26"/>
        </w:rPr>
        <w:t>16. Пояснительная записка к проекту бюджета составляется главными распорядителями с разграничением расходов на реализацию муниципальных программ и непрограммных направлений расходов. В пояснительной записке к проекту бюджета сельского поселения необходимо отразить по каждой муниципальной программе и непрограммному направлению расходов:</w:t>
      </w:r>
    </w:p>
    <w:p w:rsidR="0074304B" w:rsidRPr="009B3B07" w:rsidRDefault="0074304B" w:rsidP="0074304B">
      <w:pPr>
        <w:pStyle w:val="a"/>
        <w:numPr>
          <w:ilvl w:val="0"/>
          <w:numId w:val="0"/>
        </w:numPr>
        <w:tabs>
          <w:tab w:val="clear" w:pos="1134"/>
          <w:tab w:val="left" w:pos="0"/>
        </w:tabs>
        <w:spacing w:before="0"/>
        <w:ind w:firstLine="720"/>
        <w:rPr>
          <w:noProof w:val="0"/>
          <w:sz w:val="26"/>
          <w:szCs w:val="26"/>
          <w:lang w:eastAsia="en-US"/>
        </w:rPr>
      </w:pPr>
      <w:r w:rsidRPr="009B3B07">
        <w:rPr>
          <w:noProof w:val="0"/>
          <w:sz w:val="26"/>
          <w:szCs w:val="26"/>
        </w:rPr>
        <w:t xml:space="preserve">-   </w:t>
      </w:r>
      <w:r w:rsidRPr="009B3B07">
        <w:rPr>
          <w:noProof w:val="0"/>
          <w:sz w:val="26"/>
          <w:szCs w:val="26"/>
          <w:lang w:eastAsia="en-US"/>
        </w:rPr>
        <w:t>цели и задачи, которые предусматривается выполнить в рамках исполнения бюджетных ассигнований деятельности главного распорядителя средств бюджета</w:t>
      </w:r>
      <w:r>
        <w:rPr>
          <w:noProof w:val="0"/>
          <w:sz w:val="26"/>
          <w:szCs w:val="26"/>
          <w:lang w:eastAsia="en-US"/>
        </w:rPr>
        <w:t xml:space="preserve"> сельского поселения</w:t>
      </w:r>
      <w:r w:rsidRPr="009B3B07">
        <w:rPr>
          <w:noProof w:val="0"/>
          <w:sz w:val="26"/>
          <w:szCs w:val="26"/>
          <w:lang w:eastAsia="en-US"/>
        </w:rPr>
        <w:t>;</w:t>
      </w:r>
    </w:p>
    <w:p w:rsidR="0074304B" w:rsidRPr="009B3B07" w:rsidRDefault="0074304B" w:rsidP="0074304B">
      <w:pPr>
        <w:pStyle w:val="a"/>
        <w:numPr>
          <w:ilvl w:val="0"/>
          <w:numId w:val="0"/>
        </w:numPr>
        <w:tabs>
          <w:tab w:val="clear" w:pos="1134"/>
          <w:tab w:val="left" w:pos="0"/>
        </w:tabs>
        <w:spacing w:before="0"/>
        <w:ind w:firstLine="720"/>
        <w:rPr>
          <w:noProof w:val="0"/>
          <w:sz w:val="26"/>
          <w:szCs w:val="26"/>
        </w:rPr>
      </w:pPr>
      <w:r w:rsidRPr="009B3B07">
        <w:rPr>
          <w:noProof w:val="0"/>
          <w:sz w:val="26"/>
          <w:szCs w:val="26"/>
          <w:lang w:eastAsia="en-US"/>
        </w:rPr>
        <w:t xml:space="preserve"> </w:t>
      </w:r>
      <w:r w:rsidRPr="009B3B07">
        <w:rPr>
          <w:noProof w:val="0"/>
          <w:sz w:val="26"/>
          <w:szCs w:val="26"/>
        </w:rPr>
        <w:t>- отраслевые особенности и факторы, оказывающие влияние на планирование бюджетных ассигнований в каждом из периодов.</w:t>
      </w:r>
    </w:p>
    <w:p w:rsidR="0074304B" w:rsidRPr="009B3B07" w:rsidRDefault="0074304B" w:rsidP="0074304B">
      <w:pPr>
        <w:pStyle w:val="a"/>
        <w:numPr>
          <w:ilvl w:val="0"/>
          <w:numId w:val="0"/>
        </w:numPr>
        <w:tabs>
          <w:tab w:val="num" w:pos="1571"/>
        </w:tabs>
        <w:spacing w:before="0"/>
        <w:ind w:firstLine="720"/>
        <w:rPr>
          <w:noProof w:val="0"/>
          <w:sz w:val="26"/>
          <w:szCs w:val="26"/>
        </w:rPr>
      </w:pPr>
      <w:r w:rsidRPr="009B3B07">
        <w:rPr>
          <w:noProof w:val="0"/>
          <w:sz w:val="26"/>
          <w:szCs w:val="26"/>
        </w:rPr>
        <w:t>При этом описываются специфические для главного распорядителя средств бюджета сельского поселения направления, определяющие состав и объемы бюджетных ассигнований на 202</w:t>
      </w:r>
      <w:r>
        <w:rPr>
          <w:noProof w:val="0"/>
          <w:sz w:val="26"/>
          <w:szCs w:val="26"/>
        </w:rPr>
        <w:t>4</w:t>
      </w:r>
      <w:r w:rsidRPr="009B3B07">
        <w:rPr>
          <w:noProof w:val="0"/>
          <w:sz w:val="26"/>
          <w:szCs w:val="26"/>
        </w:rPr>
        <w:t xml:space="preserve"> год и на плановый период 202</w:t>
      </w:r>
      <w:r>
        <w:rPr>
          <w:noProof w:val="0"/>
          <w:sz w:val="26"/>
          <w:szCs w:val="26"/>
        </w:rPr>
        <w:t>5</w:t>
      </w:r>
      <w:r w:rsidRPr="009B3B07">
        <w:rPr>
          <w:noProof w:val="0"/>
          <w:sz w:val="26"/>
          <w:szCs w:val="26"/>
        </w:rPr>
        <w:t xml:space="preserve"> и 202</w:t>
      </w:r>
      <w:r>
        <w:rPr>
          <w:noProof w:val="0"/>
          <w:sz w:val="26"/>
          <w:szCs w:val="26"/>
        </w:rPr>
        <w:t>6</w:t>
      </w:r>
      <w:r w:rsidRPr="009B3B07">
        <w:rPr>
          <w:noProof w:val="0"/>
          <w:sz w:val="26"/>
          <w:szCs w:val="26"/>
        </w:rPr>
        <w:t xml:space="preserve"> годов (с выделением расходов на заработную плату, обеспечение деятельности и т.д.).</w:t>
      </w:r>
    </w:p>
    <w:p w:rsidR="0074304B" w:rsidRPr="009B3B07" w:rsidRDefault="0074304B" w:rsidP="0074304B">
      <w:pPr>
        <w:pStyle w:val="a"/>
        <w:numPr>
          <w:ilvl w:val="0"/>
          <w:numId w:val="0"/>
        </w:numPr>
        <w:spacing w:before="0"/>
        <w:ind w:firstLine="720"/>
        <w:rPr>
          <w:noProof w:val="0"/>
          <w:sz w:val="26"/>
          <w:szCs w:val="26"/>
          <w:lang w:eastAsia="en-US"/>
        </w:rPr>
      </w:pPr>
      <w:r w:rsidRPr="009B3B07">
        <w:rPr>
          <w:sz w:val="26"/>
          <w:szCs w:val="26"/>
        </w:rPr>
        <w:t>В целях формирования аналитического распределения бюджетных ассигнований бюджета сельского поселения по муниципальным программам в составе пояснительной записки главным распорядителем средств бюджета сельского поселения представляется распределение бюджетных ассигнований в разрезе соответствующих программ по форме согласно приложению 1 к настоящей Методике.</w:t>
      </w:r>
      <w:r w:rsidRPr="009B3B07">
        <w:rPr>
          <w:noProof w:val="0"/>
          <w:sz w:val="26"/>
          <w:szCs w:val="26"/>
          <w:lang w:eastAsia="en-US"/>
        </w:rPr>
        <w:t xml:space="preserve"> Общий объем пояснительной записки должен составлять от 2 до 3 страниц.</w:t>
      </w:r>
    </w:p>
    <w:p w:rsidR="0074304B" w:rsidRPr="009B3B07" w:rsidRDefault="0074304B" w:rsidP="0074304B">
      <w:pPr>
        <w:pStyle w:val="a"/>
        <w:numPr>
          <w:ilvl w:val="0"/>
          <w:numId w:val="0"/>
        </w:numPr>
        <w:tabs>
          <w:tab w:val="clear" w:pos="1134"/>
          <w:tab w:val="left" w:pos="993"/>
        </w:tabs>
        <w:spacing w:before="0"/>
        <w:ind w:firstLine="720"/>
        <w:rPr>
          <w:noProof w:val="0"/>
          <w:sz w:val="26"/>
          <w:szCs w:val="26"/>
          <w:lang w:eastAsia="en-US"/>
        </w:rPr>
      </w:pPr>
      <w:r w:rsidRPr="009B3B07">
        <w:rPr>
          <w:noProof w:val="0"/>
          <w:sz w:val="26"/>
          <w:szCs w:val="26"/>
          <w:lang w:eastAsia="en-US"/>
        </w:rPr>
        <w:t>Макет пояснительной записки к проекту бюджета сельского поселения на 202</w:t>
      </w:r>
      <w:r>
        <w:rPr>
          <w:noProof w:val="0"/>
          <w:sz w:val="26"/>
          <w:szCs w:val="26"/>
          <w:lang w:eastAsia="en-US"/>
        </w:rPr>
        <w:t>4</w:t>
      </w:r>
      <w:r w:rsidRPr="009B3B07">
        <w:rPr>
          <w:noProof w:val="0"/>
          <w:sz w:val="26"/>
          <w:szCs w:val="26"/>
          <w:lang w:eastAsia="en-US"/>
        </w:rPr>
        <w:t xml:space="preserve"> год и на плановый период 202</w:t>
      </w:r>
      <w:r>
        <w:rPr>
          <w:noProof w:val="0"/>
          <w:sz w:val="26"/>
          <w:szCs w:val="26"/>
          <w:lang w:eastAsia="en-US"/>
        </w:rPr>
        <w:t>5</w:t>
      </w:r>
      <w:r w:rsidRPr="009B3B07">
        <w:rPr>
          <w:noProof w:val="0"/>
          <w:sz w:val="26"/>
          <w:szCs w:val="26"/>
          <w:lang w:eastAsia="en-US"/>
        </w:rPr>
        <w:t xml:space="preserve"> и 202</w:t>
      </w:r>
      <w:r>
        <w:rPr>
          <w:noProof w:val="0"/>
          <w:sz w:val="26"/>
          <w:szCs w:val="26"/>
          <w:lang w:eastAsia="en-US"/>
        </w:rPr>
        <w:t>6</w:t>
      </w:r>
      <w:r w:rsidRPr="009B3B07">
        <w:rPr>
          <w:noProof w:val="0"/>
          <w:sz w:val="26"/>
          <w:szCs w:val="26"/>
          <w:lang w:eastAsia="en-US"/>
        </w:rPr>
        <w:t xml:space="preserve"> годов представлен в приложении 2 к настоящей Методике.</w:t>
      </w:r>
    </w:p>
    <w:p w:rsidR="0074304B" w:rsidRPr="009B3B07" w:rsidRDefault="0074304B" w:rsidP="0074304B">
      <w:pPr>
        <w:pStyle w:val="21"/>
        <w:ind w:right="0" w:firstLine="0"/>
        <w:outlineLvl w:val="9"/>
        <w:rPr>
          <w:sz w:val="26"/>
          <w:szCs w:val="26"/>
        </w:rPr>
      </w:pPr>
    </w:p>
    <w:p w:rsidR="0074304B" w:rsidRPr="009B3B07" w:rsidRDefault="0074304B" w:rsidP="0074304B">
      <w:pPr>
        <w:pStyle w:val="21"/>
        <w:ind w:right="0" w:firstLine="0"/>
        <w:outlineLvl w:val="9"/>
        <w:rPr>
          <w:sz w:val="26"/>
          <w:szCs w:val="26"/>
        </w:rPr>
      </w:pPr>
    </w:p>
    <w:p w:rsidR="0074304B" w:rsidRDefault="0074304B" w:rsidP="0074304B"/>
    <w:p w:rsidR="0074304B" w:rsidRDefault="0074304B" w:rsidP="0074304B"/>
    <w:p w:rsidR="0074304B" w:rsidRDefault="0074304B" w:rsidP="0074304B"/>
    <w:p w:rsidR="0074304B" w:rsidRDefault="0074304B" w:rsidP="0074304B"/>
    <w:p w:rsidR="0074304B" w:rsidRDefault="0074304B" w:rsidP="0074304B"/>
    <w:p w:rsidR="0074304B" w:rsidRDefault="0074304B" w:rsidP="0074304B"/>
    <w:p w:rsidR="0074304B" w:rsidRDefault="0074304B" w:rsidP="0074304B"/>
    <w:p w:rsidR="0074304B" w:rsidRDefault="0074304B" w:rsidP="0074304B"/>
    <w:p w:rsidR="0074304B" w:rsidRDefault="0074304B" w:rsidP="0074304B"/>
    <w:p w:rsidR="0074304B" w:rsidRDefault="0074304B" w:rsidP="0074304B"/>
    <w:p w:rsidR="0074304B" w:rsidRDefault="0074304B" w:rsidP="0074304B"/>
    <w:p w:rsidR="0074304B" w:rsidRDefault="0074304B" w:rsidP="0074304B"/>
    <w:p w:rsidR="0074304B" w:rsidRDefault="0074304B" w:rsidP="0074304B"/>
    <w:p w:rsidR="0074304B" w:rsidRDefault="0074304B" w:rsidP="0074304B"/>
    <w:p w:rsidR="0074304B" w:rsidRDefault="0074304B" w:rsidP="0074304B"/>
    <w:p w:rsidR="0074304B" w:rsidRDefault="0074304B" w:rsidP="0074304B"/>
    <w:p w:rsidR="0074304B" w:rsidRDefault="0074304B" w:rsidP="0074304B"/>
    <w:p w:rsidR="0074304B" w:rsidRDefault="0074304B" w:rsidP="0074304B"/>
    <w:p w:rsidR="0074304B" w:rsidRDefault="0074304B" w:rsidP="0074304B"/>
    <w:p w:rsidR="0074304B" w:rsidRDefault="0074304B" w:rsidP="0074304B"/>
    <w:p w:rsidR="0074304B" w:rsidRPr="0074304B" w:rsidRDefault="0074304B" w:rsidP="0074304B"/>
    <w:tbl>
      <w:tblPr>
        <w:tblpPr w:leftFromText="180" w:rightFromText="180" w:horzAnchor="page" w:tblpX="818" w:tblpY="300"/>
        <w:tblW w:w="10905" w:type="dxa"/>
        <w:tblLook w:val="04A0"/>
      </w:tblPr>
      <w:tblGrid>
        <w:gridCol w:w="769"/>
        <w:gridCol w:w="4532"/>
        <w:gridCol w:w="1496"/>
        <w:gridCol w:w="1302"/>
        <w:gridCol w:w="829"/>
        <w:gridCol w:w="2170"/>
      </w:tblGrid>
      <w:tr w:rsidR="0074304B" w:rsidTr="0074304B">
        <w:trPr>
          <w:trHeight w:val="1839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04B" w:rsidRDefault="0074304B" w:rsidP="0074304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04B" w:rsidRDefault="0074304B" w:rsidP="0074304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04B" w:rsidRDefault="0074304B" w:rsidP="007430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1  </w:t>
            </w:r>
            <w:r>
              <w:rPr>
                <w:sz w:val="26"/>
                <w:szCs w:val="26"/>
              </w:rPr>
              <w:br/>
              <w:t xml:space="preserve">к Методике и порядку планирования </w:t>
            </w:r>
            <w:r>
              <w:rPr>
                <w:sz w:val="26"/>
                <w:szCs w:val="26"/>
              </w:rPr>
              <w:br/>
              <w:t>бюджетных ассигнований  бюджета сельского поселения на 2024 год                                                                                                                                   и на плановый период 2025 и 2026 годов</w:t>
            </w:r>
          </w:p>
        </w:tc>
      </w:tr>
      <w:tr w:rsidR="0074304B" w:rsidTr="0074304B">
        <w:trPr>
          <w:trHeight w:val="972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04B" w:rsidRDefault="0074304B" w:rsidP="0074304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04B" w:rsidRDefault="0074304B" w:rsidP="0074304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04B" w:rsidRDefault="0074304B" w:rsidP="0074304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04B" w:rsidRDefault="0074304B" w:rsidP="0074304B">
            <w:pPr>
              <w:rPr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04B" w:rsidRDefault="0074304B" w:rsidP="007430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04B" w:rsidRDefault="0074304B" w:rsidP="0074304B">
            <w:pPr>
              <w:rPr>
                <w:color w:val="000000"/>
                <w:sz w:val="26"/>
                <w:szCs w:val="26"/>
              </w:rPr>
            </w:pPr>
          </w:p>
        </w:tc>
      </w:tr>
      <w:tr w:rsidR="0074304B" w:rsidTr="0074304B">
        <w:trPr>
          <w:trHeight w:val="1016"/>
        </w:trPr>
        <w:tc>
          <w:tcPr>
            <w:tcW w:w="10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04B" w:rsidRDefault="0074304B" w:rsidP="007430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Распределение расходов  бюджета сельского поселения на 2024 год и на плановый период 2025 и 2026 годов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  <w:t>по муниципальным программам</w:t>
            </w:r>
          </w:p>
        </w:tc>
      </w:tr>
      <w:tr w:rsidR="0074304B" w:rsidTr="0074304B">
        <w:trPr>
          <w:trHeight w:val="463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04B" w:rsidRDefault="0074304B" w:rsidP="007430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04B" w:rsidRDefault="0074304B" w:rsidP="007430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04B" w:rsidRDefault="0074304B" w:rsidP="007430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04B" w:rsidRDefault="0074304B" w:rsidP="007430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04B" w:rsidRDefault="0074304B" w:rsidP="007430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04B" w:rsidRDefault="0074304B" w:rsidP="007430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(тыс.рублей)</w:t>
            </w:r>
          </w:p>
        </w:tc>
      </w:tr>
      <w:tr w:rsidR="0074304B" w:rsidTr="0074304B">
        <w:trPr>
          <w:trHeight w:val="374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4B" w:rsidRDefault="0074304B" w:rsidP="007430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4B" w:rsidRDefault="0074304B" w:rsidP="007430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4B" w:rsidRDefault="0074304B" w:rsidP="007430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Ожидаемое 2023г. 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4B" w:rsidRDefault="0074304B" w:rsidP="007430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Проектировки  бюджета сельского поселения</w:t>
            </w:r>
          </w:p>
        </w:tc>
      </w:tr>
      <w:tr w:rsidR="0074304B" w:rsidTr="0074304B">
        <w:trPr>
          <w:trHeight w:val="867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4B" w:rsidRDefault="0074304B" w:rsidP="007430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4B" w:rsidRDefault="0074304B" w:rsidP="007430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04B" w:rsidRDefault="0074304B" w:rsidP="0074304B">
            <w:pPr>
              <w:rPr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4B" w:rsidRDefault="0074304B" w:rsidP="007430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4B" w:rsidRDefault="0074304B" w:rsidP="007430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4B" w:rsidRDefault="0074304B" w:rsidP="007430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 год</w:t>
            </w:r>
          </w:p>
        </w:tc>
      </w:tr>
      <w:tr w:rsidR="0074304B" w:rsidTr="0074304B">
        <w:trPr>
          <w:trHeight w:val="40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4B" w:rsidRDefault="0074304B" w:rsidP="007430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4B" w:rsidRDefault="0074304B" w:rsidP="007430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по муниципальным программам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4B" w:rsidRDefault="0074304B" w:rsidP="007430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4B" w:rsidRDefault="0074304B" w:rsidP="007430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B" w:rsidRDefault="0074304B" w:rsidP="007430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B" w:rsidRDefault="0074304B" w:rsidP="007430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4304B" w:rsidTr="0074304B">
        <w:trPr>
          <w:trHeight w:val="40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4B" w:rsidRDefault="0074304B" w:rsidP="007430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4B" w:rsidRDefault="0074304B" w:rsidP="007430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4B" w:rsidRDefault="0074304B" w:rsidP="007430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4B" w:rsidRDefault="0074304B" w:rsidP="007430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B" w:rsidRDefault="0074304B" w:rsidP="007430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B" w:rsidRDefault="0074304B" w:rsidP="007430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4304B" w:rsidTr="0074304B">
        <w:trPr>
          <w:trHeight w:val="32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4B" w:rsidRDefault="0074304B" w:rsidP="007430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4B" w:rsidRDefault="0074304B" w:rsidP="007430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Муниципальные программы 1 (в.т.ч. проекты)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4B" w:rsidRDefault="0074304B" w:rsidP="007430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4B" w:rsidRDefault="0074304B" w:rsidP="007430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B" w:rsidRDefault="0074304B" w:rsidP="007430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B" w:rsidRDefault="0074304B" w:rsidP="007430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4304B" w:rsidTr="0074304B">
        <w:trPr>
          <w:trHeight w:val="32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4B" w:rsidRDefault="0074304B" w:rsidP="007430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4B" w:rsidRDefault="0074304B" w:rsidP="007430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Муниципальные программы 2 (в.т.ч. проекты)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4B" w:rsidRDefault="0074304B" w:rsidP="007430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4B" w:rsidRDefault="0074304B" w:rsidP="007430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B" w:rsidRDefault="0074304B" w:rsidP="007430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B" w:rsidRDefault="0074304B" w:rsidP="007430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4304B" w:rsidTr="0074304B">
        <w:trPr>
          <w:trHeight w:val="32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4B" w:rsidRDefault="0074304B" w:rsidP="007430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4B" w:rsidRDefault="0074304B" w:rsidP="007430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 т.д.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4B" w:rsidRDefault="0074304B" w:rsidP="007430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4B" w:rsidRDefault="0074304B" w:rsidP="007430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B" w:rsidRDefault="0074304B" w:rsidP="007430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B" w:rsidRDefault="0074304B" w:rsidP="007430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4304B" w:rsidTr="0074304B">
        <w:trPr>
          <w:trHeight w:val="32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4B" w:rsidRDefault="0074304B" w:rsidP="007430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4B" w:rsidRDefault="0074304B" w:rsidP="007430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4B" w:rsidRDefault="0074304B" w:rsidP="007430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4B" w:rsidRDefault="0074304B" w:rsidP="007430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B" w:rsidRDefault="0074304B" w:rsidP="007430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4B" w:rsidRDefault="0074304B" w:rsidP="007430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4304B" w:rsidTr="0074304B">
        <w:trPr>
          <w:trHeight w:val="374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04B" w:rsidRDefault="0074304B" w:rsidP="00743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04B" w:rsidRDefault="0074304B" w:rsidP="0074304B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04B" w:rsidRDefault="0074304B" w:rsidP="0074304B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04B" w:rsidRDefault="0074304B" w:rsidP="0074304B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04B" w:rsidRDefault="0074304B" w:rsidP="0074304B">
            <w:pPr>
              <w:rPr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04B" w:rsidRDefault="0074304B" w:rsidP="0074304B">
            <w:pPr>
              <w:rPr>
                <w:color w:val="000000"/>
              </w:rPr>
            </w:pPr>
          </w:p>
        </w:tc>
      </w:tr>
      <w:tr w:rsidR="0074304B" w:rsidTr="0074304B">
        <w:trPr>
          <w:trHeight w:val="374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04B" w:rsidRDefault="0074304B" w:rsidP="00743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04B" w:rsidRDefault="0074304B" w:rsidP="0074304B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04B" w:rsidRDefault="0074304B" w:rsidP="0074304B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04B" w:rsidRDefault="0074304B" w:rsidP="0074304B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04B" w:rsidRDefault="0074304B" w:rsidP="0074304B">
            <w:pPr>
              <w:rPr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04B" w:rsidRDefault="0074304B" w:rsidP="0074304B">
            <w:pPr>
              <w:rPr>
                <w:color w:val="000000"/>
              </w:rPr>
            </w:pPr>
          </w:p>
        </w:tc>
      </w:tr>
    </w:tbl>
    <w:p w:rsidR="00EE5EC5" w:rsidRDefault="00EE5EC5"/>
    <w:p w:rsidR="0074304B" w:rsidRDefault="0074304B"/>
    <w:p w:rsidR="0074304B" w:rsidRDefault="0074304B"/>
    <w:p w:rsidR="0074304B" w:rsidRDefault="0074304B"/>
    <w:p w:rsidR="0074304B" w:rsidRDefault="0074304B"/>
    <w:p w:rsidR="0074304B" w:rsidRDefault="0074304B"/>
    <w:p w:rsidR="0074304B" w:rsidRDefault="0074304B"/>
    <w:p w:rsidR="0074304B" w:rsidRDefault="0074304B"/>
    <w:p w:rsidR="0074304B" w:rsidRDefault="0074304B"/>
    <w:p w:rsidR="0074304B" w:rsidRDefault="0074304B"/>
    <w:p w:rsidR="0074304B" w:rsidRDefault="0074304B"/>
    <w:p w:rsidR="0074304B" w:rsidRDefault="0074304B"/>
    <w:p w:rsidR="0074304B" w:rsidRDefault="0074304B"/>
    <w:p w:rsidR="0074304B" w:rsidRDefault="0074304B"/>
    <w:p w:rsidR="0074304B" w:rsidRDefault="0074304B"/>
    <w:p w:rsidR="0074304B" w:rsidRDefault="0074304B"/>
    <w:p w:rsidR="0074304B" w:rsidRDefault="0074304B"/>
    <w:p w:rsidR="0074304B" w:rsidRDefault="0074304B"/>
    <w:p w:rsidR="0074304B" w:rsidRPr="0071257F" w:rsidRDefault="0074304B" w:rsidP="0074304B">
      <w:pPr>
        <w:pStyle w:val="a"/>
        <w:numPr>
          <w:ilvl w:val="0"/>
          <w:numId w:val="0"/>
        </w:numPr>
        <w:spacing w:before="0"/>
        <w:jc w:val="right"/>
        <w:rPr>
          <w:sz w:val="26"/>
          <w:szCs w:val="26"/>
        </w:rPr>
      </w:pPr>
      <w:r w:rsidRPr="0071257F">
        <w:rPr>
          <w:sz w:val="26"/>
          <w:szCs w:val="26"/>
        </w:rPr>
        <w:t>Приложение 2</w:t>
      </w:r>
    </w:p>
    <w:p w:rsidR="0074304B" w:rsidRPr="0071257F" w:rsidRDefault="0074304B" w:rsidP="0074304B">
      <w:pPr>
        <w:jc w:val="right"/>
        <w:rPr>
          <w:sz w:val="26"/>
          <w:szCs w:val="26"/>
        </w:rPr>
      </w:pPr>
      <w:r w:rsidRPr="0071257F">
        <w:rPr>
          <w:sz w:val="26"/>
          <w:szCs w:val="26"/>
        </w:rPr>
        <w:t>к Методике и порядку планирования</w:t>
      </w:r>
    </w:p>
    <w:p w:rsidR="0074304B" w:rsidRPr="0071257F" w:rsidRDefault="0074304B" w:rsidP="0074304B">
      <w:pPr>
        <w:jc w:val="right"/>
        <w:rPr>
          <w:sz w:val="26"/>
          <w:szCs w:val="26"/>
        </w:rPr>
      </w:pPr>
      <w:r w:rsidRPr="0071257F">
        <w:rPr>
          <w:sz w:val="26"/>
          <w:szCs w:val="26"/>
        </w:rPr>
        <w:t xml:space="preserve">бюджетных ассигнований бюджета </w:t>
      </w:r>
    </w:p>
    <w:p w:rsidR="0074304B" w:rsidRPr="0071257F" w:rsidRDefault="0074304B" w:rsidP="0074304B">
      <w:pPr>
        <w:jc w:val="right"/>
        <w:rPr>
          <w:sz w:val="26"/>
          <w:szCs w:val="26"/>
        </w:rPr>
      </w:pPr>
      <w:r w:rsidRPr="0071257F">
        <w:rPr>
          <w:sz w:val="26"/>
          <w:szCs w:val="26"/>
        </w:rPr>
        <w:t>сельского поселения на 202</w:t>
      </w:r>
      <w:r>
        <w:rPr>
          <w:sz w:val="26"/>
          <w:szCs w:val="26"/>
        </w:rPr>
        <w:t>4</w:t>
      </w:r>
      <w:r w:rsidRPr="0071257F">
        <w:rPr>
          <w:sz w:val="26"/>
          <w:szCs w:val="26"/>
        </w:rPr>
        <w:t xml:space="preserve">год </w:t>
      </w:r>
    </w:p>
    <w:p w:rsidR="0074304B" w:rsidRPr="0071257F" w:rsidRDefault="0074304B" w:rsidP="0074304B">
      <w:pPr>
        <w:jc w:val="right"/>
        <w:rPr>
          <w:sz w:val="26"/>
          <w:szCs w:val="26"/>
        </w:rPr>
      </w:pPr>
      <w:r w:rsidRPr="0071257F">
        <w:rPr>
          <w:sz w:val="26"/>
          <w:szCs w:val="26"/>
        </w:rPr>
        <w:t>и плановый период 202</w:t>
      </w:r>
      <w:r>
        <w:rPr>
          <w:sz w:val="26"/>
          <w:szCs w:val="26"/>
        </w:rPr>
        <w:t>5</w:t>
      </w:r>
      <w:r w:rsidRPr="0071257F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71257F">
        <w:rPr>
          <w:sz w:val="26"/>
          <w:szCs w:val="26"/>
        </w:rPr>
        <w:t xml:space="preserve"> годов</w:t>
      </w:r>
    </w:p>
    <w:p w:rsidR="0074304B" w:rsidRPr="0071257F" w:rsidRDefault="0074304B" w:rsidP="0074304B">
      <w:pPr>
        <w:pStyle w:val="a"/>
        <w:numPr>
          <w:ilvl w:val="0"/>
          <w:numId w:val="0"/>
        </w:numPr>
        <w:spacing w:before="0"/>
        <w:ind w:firstLine="720"/>
        <w:jc w:val="right"/>
        <w:rPr>
          <w:sz w:val="26"/>
          <w:szCs w:val="26"/>
        </w:rPr>
      </w:pPr>
    </w:p>
    <w:p w:rsidR="0074304B" w:rsidRPr="0071257F" w:rsidRDefault="0074304B" w:rsidP="0074304B">
      <w:pPr>
        <w:pStyle w:val="a"/>
        <w:numPr>
          <w:ilvl w:val="0"/>
          <w:numId w:val="0"/>
        </w:numPr>
        <w:spacing w:before="0"/>
        <w:ind w:firstLine="720"/>
        <w:jc w:val="center"/>
        <w:rPr>
          <w:sz w:val="26"/>
          <w:szCs w:val="26"/>
        </w:rPr>
      </w:pPr>
      <w:r w:rsidRPr="0071257F">
        <w:rPr>
          <w:sz w:val="26"/>
          <w:szCs w:val="26"/>
        </w:rPr>
        <w:t>Макет пояснительной записки к проекту бюджета  сельского поселения  на 202</w:t>
      </w:r>
      <w:r>
        <w:rPr>
          <w:sz w:val="26"/>
          <w:szCs w:val="26"/>
        </w:rPr>
        <w:t>4</w:t>
      </w:r>
      <w:r w:rsidRPr="0071257F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5</w:t>
      </w:r>
      <w:r w:rsidRPr="0071257F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71257F">
        <w:rPr>
          <w:sz w:val="26"/>
          <w:szCs w:val="26"/>
        </w:rPr>
        <w:t xml:space="preserve"> годов</w:t>
      </w:r>
    </w:p>
    <w:p w:rsidR="0074304B" w:rsidRPr="0071257F" w:rsidRDefault="0074304B" w:rsidP="0074304B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74304B" w:rsidRPr="0071257F" w:rsidRDefault="0074304B" w:rsidP="0074304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Сельское поселение</w:t>
      </w:r>
      <w:r w:rsidRPr="0071257F">
        <w:rPr>
          <w:sz w:val="26"/>
          <w:szCs w:val="26"/>
        </w:rPr>
        <w:t xml:space="preserve"> </w:t>
      </w:r>
      <w:r w:rsidRPr="0071257F">
        <w:rPr>
          <w:i/>
          <w:sz w:val="26"/>
          <w:szCs w:val="26"/>
        </w:rPr>
        <w:t>(указать наименование органа исполнительной власти)</w:t>
      </w:r>
      <w:r w:rsidRPr="0071257F">
        <w:rPr>
          <w:sz w:val="26"/>
          <w:szCs w:val="26"/>
        </w:rPr>
        <w:t xml:space="preserve"> осуществляет координацию и контроль деятельности находящихся в его ведении </w:t>
      </w:r>
      <w:r w:rsidRPr="0071257F">
        <w:rPr>
          <w:i/>
          <w:sz w:val="26"/>
          <w:szCs w:val="26"/>
        </w:rPr>
        <w:t>(при наличии указать муниципальные учреждения).</w:t>
      </w:r>
    </w:p>
    <w:p w:rsidR="0074304B" w:rsidRPr="0071257F" w:rsidRDefault="0074304B" w:rsidP="0074304B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257F">
        <w:rPr>
          <w:rFonts w:ascii="Times New Roman" w:hAnsi="Times New Roman" w:cs="Times New Roman"/>
          <w:sz w:val="26"/>
          <w:szCs w:val="26"/>
        </w:rPr>
        <w:t>Бюджетные ассигнования, предусмотренные в проекте районного бюджета на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1257F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1257F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1257F">
        <w:rPr>
          <w:rFonts w:ascii="Times New Roman" w:hAnsi="Times New Roman" w:cs="Times New Roman"/>
          <w:sz w:val="26"/>
          <w:szCs w:val="26"/>
        </w:rPr>
        <w:t xml:space="preserve"> годов, в целом позволят обеспечить </w:t>
      </w:r>
      <w:r w:rsidRPr="0071257F">
        <w:rPr>
          <w:rFonts w:ascii="Times New Roman" w:hAnsi="Times New Roman" w:cs="Times New Roman"/>
          <w:i/>
          <w:sz w:val="26"/>
          <w:szCs w:val="26"/>
        </w:rPr>
        <w:t>(перечислить основные цели и задачи, соответствующие обозначенным в докладе о результатах и основных направлениях деятельности на 202</w:t>
      </w:r>
      <w:r>
        <w:rPr>
          <w:rFonts w:ascii="Times New Roman" w:hAnsi="Times New Roman" w:cs="Times New Roman"/>
          <w:i/>
          <w:sz w:val="26"/>
          <w:szCs w:val="26"/>
        </w:rPr>
        <w:t>4</w:t>
      </w:r>
      <w:r w:rsidRPr="0071257F">
        <w:rPr>
          <w:rFonts w:ascii="Times New Roman" w:hAnsi="Times New Roman" w:cs="Times New Roman"/>
          <w:i/>
          <w:sz w:val="26"/>
          <w:szCs w:val="26"/>
        </w:rPr>
        <w:t xml:space="preserve"> – 202</w:t>
      </w:r>
      <w:r>
        <w:rPr>
          <w:rFonts w:ascii="Times New Roman" w:hAnsi="Times New Roman" w:cs="Times New Roman"/>
          <w:i/>
          <w:sz w:val="26"/>
          <w:szCs w:val="26"/>
        </w:rPr>
        <w:t>6</w:t>
      </w:r>
      <w:r w:rsidRPr="0071257F">
        <w:rPr>
          <w:rFonts w:ascii="Times New Roman" w:hAnsi="Times New Roman" w:cs="Times New Roman"/>
          <w:i/>
          <w:sz w:val="26"/>
          <w:szCs w:val="26"/>
        </w:rPr>
        <w:t xml:space="preserve"> годы).</w:t>
      </w:r>
    </w:p>
    <w:p w:rsidR="0074304B" w:rsidRPr="0071257F" w:rsidRDefault="0074304B" w:rsidP="0074304B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Сельское поселение</w:t>
      </w:r>
      <w:r w:rsidRPr="0071257F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Pr="0071257F">
        <w:rPr>
          <w:rFonts w:ascii="Times New Roman" w:hAnsi="Times New Roman" w:cs="Times New Roman"/>
          <w:i/>
          <w:sz w:val="26"/>
          <w:szCs w:val="26"/>
        </w:rPr>
        <w:t xml:space="preserve">(указать нормативные правовые акты) </w:t>
      </w:r>
      <w:r w:rsidRPr="0071257F">
        <w:rPr>
          <w:rFonts w:ascii="Times New Roman" w:hAnsi="Times New Roman" w:cs="Times New Roman"/>
          <w:sz w:val="26"/>
          <w:szCs w:val="26"/>
        </w:rPr>
        <w:t xml:space="preserve">осуществляет функции по </w:t>
      </w:r>
      <w:r w:rsidRPr="0071257F">
        <w:rPr>
          <w:rFonts w:ascii="Times New Roman" w:hAnsi="Times New Roman" w:cs="Times New Roman"/>
          <w:i/>
          <w:sz w:val="26"/>
          <w:szCs w:val="26"/>
        </w:rPr>
        <w:t>(перечислить основные функции).</w:t>
      </w:r>
    </w:p>
    <w:p w:rsidR="0074304B" w:rsidRPr="0071257F" w:rsidRDefault="0074304B" w:rsidP="007430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Сельское поселение</w:t>
      </w:r>
      <w:r w:rsidRPr="0071257F">
        <w:rPr>
          <w:rFonts w:ascii="Times New Roman" w:hAnsi="Times New Roman" w:cs="Times New Roman"/>
          <w:sz w:val="26"/>
          <w:szCs w:val="26"/>
        </w:rPr>
        <w:t xml:space="preserve"> осуществляет исполнение бюджета в соответствии с расходными обязательствами (</w:t>
      </w:r>
      <w:r w:rsidRPr="0071257F">
        <w:rPr>
          <w:rFonts w:ascii="Times New Roman" w:hAnsi="Times New Roman" w:cs="Times New Roman"/>
          <w:i/>
          <w:sz w:val="26"/>
          <w:szCs w:val="26"/>
        </w:rPr>
        <w:t>перечислить расходных обязательств)</w:t>
      </w:r>
      <w:r w:rsidRPr="0071257F">
        <w:rPr>
          <w:rFonts w:ascii="Times New Roman" w:hAnsi="Times New Roman" w:cs="Times New Roman"/>
          <w:sz w:val="26"/>
          <w:szCs w:val="26"/>
        </w:rPr>
        <w:t>, за счет бюджетных ассигнований бюджета сельского поселения, предусматриваемых на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1257F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1257F">
        <w:rPr>
          <w:rFonts w:ascii="Times New Roman" w:hAnsi="Times New Roman" w:cs="Times New Roman"/>
          <w:sz w:val="26"/>
          <w:szCs w:val="26"/>
        </w:rPr>
        <w:t xml:space="preserve"> годы (</w:t>
      </w:r>
      <w:r w:rsidRPr="0071257F">
        <w:rPr>
          <w:rFonts w:ascii="Times New Roman" w:hAnsi="Times New Roman" w:cs="Times New Roman"/>
          <w:i/>
          <w:sz w:val="26"/>
          <w:szCs w:val="26"/>
        </w:rPr>
        <w:t>указать</w:t>
      </w:r>
      <w:r w:rsidRPr="0071257F">
        <w:rPr>
          <w:rFonts w:ascii="Times New Roman" w:hAnsi="Times New Roman" w:cs="Times New Roman"/>
          <w:sz w:val="26"/>
          <w:szCs w:val="26"/>
        </w:rPr>
        <w:t>).</w:t>
      </w:r>
    </w:p>
    <w:p w:rsidR="0074304B" w:rsidRPr="0071257F" w:rsidRDefault="0074304B" w:rsidP="007430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57F">
        <w:rPr>
          <w:rFonts w:ascii="Times New Roman" w:hAnsi="Times New Roman" w:cs="Times New Roman"/>
          <w:sz w:val="26"/>
          <w:szCs w:val="26"/>
        </w:rPr>
        <w:t>Объем бюджетных ассигнований предусмотренные в проекте бюджета сельского поселения отражены в разрезе муниципальных программ и представлены в таблице:</w:t>
      </w:r>
    </w:p>
    <w:p w:rsidR="0074304B" w:rsidRPr="0071257F" w:rsidRDefault="0074304B" w:rsidP="0074304B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134"/>
        <w:gridCol w:w="1134"/>
        <w:gridCol w:w="1276"/>
        <w:gridCol w:w="850"/>
        <w:gridCol w:w="1134"/>
        <w:gridCol w:w="1134"/>
        <w:gridCol w:w="1133"/>
      </w:tblGrid>
      <w:tr w:rsidR="0074304B" w:rsidRPr="0071257F" w:rsidTr="009518AD">
        <w:trPr>
          <w:trHeight w:val="204"/>
        </w:trPr>
        <w:tc>
          <w:tcPr>
            <w:tcW w:w="2127" w:type="dxa"/>
            <w:vMerge w:val="restart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6"/>
                <w:szCs w:val="26"/>
                <w:lang w:eastAsia="en-US"/>
              </w:rPr>
            </w:pPr>
            <w:r w:rsidRPr="0071257F">
              <w:rPr>
                <w:noProof w:val="0"/>
                <w:sz w:val="26"/>
                <w:szCs w:val="26"/>
                <w:lang w:eastAsia="en-US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6"/>
                <w:szCs w:val="26"/>
                <w:lang w:eastAsia="en-US"/>
              </w:rPr>
            </w:pPr>
            <w:r w:rsidRPr="0071257F">
              <w:rPr>
                <w:noProof w:val="0"/>
                <w:sz w:val="26"/>
                <w:szCs w:val="26"/>
                <w:lang w:eastAsia="en-US"/>
              </w:rPr>
              <w:t>202</w:t>
            </w:r>
            <w:r>
              <w:rPr>
                <w:noProof w:val="0"/>
                <w:sz w:val="26"/>
                <w:szCs w:val="26"/>
                <w:lang w:eastAsia="en-US"/>
              </w:rPr>
              <w:t>3</w:t>
            </w:r>
            <w:r w:rsidRPr="0071257F">
              <w:rPr>
                <w:noProof w:val="0"/>
                <w:sz w:val="26"/>
                <w:szCs w:val="26"/>
                <w:lang w:eastAsia="en-US"/>
              </w:rPr>
              <w:t xml:space="preserve"> год*</w:t>
            </w:r>
          </w:p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6"/>
                <w:szCs w:val="26"/>
                <w:lang w:eastAsia="en-US"/>
              </w:rPr>
            </w:pPr>
            <w:r w:rsidRPr="0071257F">
              <w:rPr>
                <w:noProof w:val="0"/>
                <w:sz w:val="26"/>
                <w:szCs w:val="26"/>
                <w:lang w:eastAsia="en-US"/>
              </w:rPr>
              <w:t>(тыс. рублей)</w:t>
            </w:r>
          </w:p>
        </w:tc>
        <w:tc>
          <w:tcPr>
            <w:tcW w:w="2410" w:type="dxa"/>
            <w:gridSpan w:val="2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6"/>
                <w:szCs w:val="26"/>
                <w:lang w:eastAsia="en-US"/>
              </w:rPr>
            </w:pPr>
            <w:r w:rsidRPr="0071257F">
              <w:rPr>
                <w:noProof w:val="0"/>
                <w:sz w:val="26"/>
                <w:szCs w:val="26"/>
                <w:lang w:eastAsia="en-US"/>
              </w:rPr>
              <w:t>202</w:t>
            </w:r>
            <w:r>
              <w:rPr>
                <w:noProof w:val="0"/>
                <w:sz w:val="26"/>
                <w:szCs w:val="26"/>
                <w:lang w:eastAsia="en-US"/>
              </w:rPr>
              <w:t>4</w:t>
            </w:r>
            <w:r w:rsidRPr="0071257F">
              <w:rPr>
                <w:noProof w:val="0"/>
                <w:sz w:val="26"/>
                <w:szCs w:val="26"/>
                <w:lang w:eastAsia="en-US"/>
              </w:rPr>
              <w:t xml:space="preserve"> год (проект)</w:t>
            </w:r>
          </w:p>
        </w:tc>
        <w:tc>
          <w:tcPr>
            <w:tcW w:w="1984" w:type="dxa"/>
            <w:gridSpan w:val="2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6"/>
                <w:szCs w:val="26"/>
                <w:lang w:eastAsia="en-US"/>
              </w:rPr>
            </w:pPr>
            <w:r w:rsidRPr="0071257F">
              <w:rPr>
                <w:noProof w:val="0"/>
                <w:sz w:val="26"/>
                <w:szCs w:val="26"/>
                <w:lang w:eastAsia="en-US"/>
              </w:rPr>
              <w:t>202</w:t>
            </w:r>
            <w:r>
              <w:rPr>
                <w:noProof w:val="0"/>
                <w:sz w:val="26"/>
                <w:szCs w:val="26"/>
                <w:lang w:eastAsia="en-US"/>
              </w:rPr>
              <w:t>5</w:t>
            </w:r>
            <w:r w:rsidRPr="0071257F">
              <w:rPr>
                <w:noProof w:val="0"/>
                <w:sz w:val="26"/>
                <w:szCs w:val="26"/>
                <w:lang w:eastAsia="en-US"/>
              </w:rPr>
              <w:t xml:space="preserve"> год (проект)</w:t>
            </w:r>
          </w:p>
        </w:tc>
        <w:tc>
          <w:tcPr>
            <w:tcW w:w="2267" w:type="dxa"/>
            <w:gridSpan w:val="2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6"/>
                <w:szCs w:val="26"/>
                <w:lang w:eastAsia="en-US"/>
              </w:rPr>
            </w:pPr>
            <w:r w:rsidRPr="0071257F">
              <w:rPr>
                <w:noProof w:val="0"/>
                <w:sz w:val="26"/>
                <w:szCs w:val="26"/>
                <w:lang w:eastAsia="en-US"/>
              </w:rPr>
              <w:t>202</w:t>
            </w:r>
            <w:r>
              <w:rPr>
                <w:noProof w:val="0"/>
                <w:sz w:val="26"/>
                <w:szCs w:val="26"/>
                <w:lang w:eastAsia="en-US"/>
              </w:rPr>
              <w:t>6</w:t>
            </w:r>
            <w:r w:rsidRPr="0071257F">
              <w:rPr>
                <w:noProof w:val="0"/>
                <w:sz w:val="26"/>
                <w:szCs w:val="26"/>
                <w:lang w:eastAsia="en-US"/>
              </w:rPr>
              <w:t xml:space="preserve"> год (проект)</w:t>
            </w:r>
          </w:p>
        </w:tc>
      </w:tr>
      <w:tr w:rsidR="0074304B" w:rsidRPr="0071257F" w:rsidTr="009518AD">
        <w:tc>
          <w:tcPr>
            <w:tcW w:w="2127" w:type="dxa"/>
            <w:vMerge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6"/>
                <w:szCs w:val="26"/>
                <w:lang w:eastAsia="en-US"/>
              </w:rPr>
            </w:pPr>
            <w:r w:rsidRPr="0071257F">
              <w:rPr>
                <w:noProof w:val="0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276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6"/>
                <w:szCs w:val="26"/>
                <w:lang w:eastAsia="en-US"/>
              </w:rPr>
            </w:pPr>
            <w:r w:rsidRPr="0071257F">
              <w:rPr>
                <w:noProof w:val="0"/>
                <w:sz w:val="26"/>
                <w:szCs w:val="26"/>
                <w:lang w:eastAsia="en-US"/>
              </w:rPr>
              <w:t>% к 202</w:t>
            </w:r>
            <w:r>
              <w:rPr>
                <w:noProof w:val="0"/>
                <w:sz w:val="26"/>
                <w:szCs w:val="26"/>
                <w:lang w:eastAsia="en-US"/>
              </w:rPr>
              <w:t>2</w:t>
            </w:r>
            <w:r w:rsidRPr="0071257F">
              <w:rPr>
                <w:noProof w:val="0"/>
                <w:sz w:val="26"/>
                <w:szCs w:val="26"/>
                <w:lang w:eastAsia="en-US"/>
              </w:rPr>
              <w:t xml:space="preserve"> году</w:t>
            </w:r>
          </w:p>
        </w:tc>
        <w:tc>
          <w:tcPr>
            <w:tcW w:w="850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6"/>
                <w:szCs w:val="26"/>
                <w:lang w:eastAsia="en-US"/>
              </w:rPr>
            </w:pPr>
            <w:r w:rsidRPr="0071257F">
              <w:rPr>
                <w:noProof w:val="0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4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6"/>
                <w:szCs w:val="26"/>
                <w:lang w:eastAsia="en-US"/>
              </w:rPr>
            </w:pPr>
            <w:r w:rsidRPr="0071257F">
              <w:rPr>
                <w:noProof w:val="0"/>
                <w:sz w:val="26"/>
                <w:szCs w:val="26"/>
                <w:lang w:eastAsia="en-US"/>
              </w:rPr>
              <w:t>% к 202</w:t>
            </w:r>
            <w:r>
              <w:rPr>
                <w:noProof w:val="0"/>
                <w:sz w:val="26"/>
                <w:szCs w:val="26"/>
                <w:lang w:eastAsia="en-US"/>
              </w:rPr>
              <w:t>3</w:t>
            </w:r>
            <w:r w:rsidRPr="0071257F">
              <w:rPr>
                <w:noProof w:val="0"/>
                <w:sz w:val="26"/>
                <w:szCs w:val="26"/>
                <w:lang w:eastAsia="en-US"/>
              </w:rPr>
              <w:t xml:space="preserve"> году</w:t>
            </w:r>
          </w:p>
        </w:tc>
        <w:tc>
          <w:tcPr>
            <w:tcW w:w="1134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6"/>
                <w:szCs w:val="26"/>
                <w:lang w:eastAsia="en-US"/>
              </w:rPr>
            </w:pPr>
            <w:r w:rsidRPr="0071257F">
              <w:rPr>
                <w:noProof w:val="0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133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6"/>
                <w:szCs w:val="26"/>
                <w:lang w:eastAsia="en-US"/>
              </w:rPr>
            </w:pPr>
            <w:r w:rsidRPr="0071257F">
              <w:rPr>
                <w:noProof w:val="0"/>
                <w:sz w:val="26"/>
                <w:szCs w:val="26"/>
                <w:lang w:eastAsia="en-US"/>
              </w:rPr>
              <w:t>% к 202</w:t>
            </w:r>
            <w:r>
              <w:rPr>
                <w:noProof w:val="0"/>
                <w:sz w:val="26"/>
                <w:szCs w:val="26"/>
                <w:lang w:eastAsia="en-US"/>
              </w:rPr>
              <w:t>4</w:t>
            </w:r>
            <w:r w:rsidRPr="0071257F">
              <w:rPr>
                <w:noProof w:val="0"/>
                <w:sz w:val="26"/>
                <w:szCs w:val="26"/>
                <w:lang w:eastAsia="en-US"/>
              </w:rPr>
              <w:t xml:space="preserve"> году</w:t>
            </w:r>
          </w:p>
        </w:tc>
      </w:tr>
      <w:tr w:rsidR="0074304B" w:rsidRPr="0071257F" w:rsidTr="009518AD">
        <w:tc>
          <w:tcPr>
            <w:tcW w:w="2127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6"/>
                <w:szCs w:val="26"/>
                <w:lang w:eastAsia="en-US"/>
              </w:rPr>
            </w:pPr>
            <w:r w:rsidRPr="0071257F">
              <w:rPr>
                <w:noProof w:val="0"/>
                <w:sz w:val="26"/>
                <w:szCs w:val="26"/>
                <w:lang w:eastAsia="en-US"/>
              </w:rPr>
              <w:t xml:space="preserve">ВСЕГО </w:t>
            </w:r>
          </w:p>
        </w:tc>
        <w:tc>
          <w:tcPr>
            <w:tcW w:w="1134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6"/>
                <w:szCs w:val="26"/>
                <w:lang w:eastAsia="en-US"/>
              </w:rPr>
            </w:pPr>
          </w:p>
        </w:tc>
      </w:tr>
      <w:tr w:rsidR="0074304B" w:rsidRPr="0071257F" w:rsidTr="009518AD">
        <w:trPr>
          <w:trHeight w:val="231"/>
        </w:trPr>
        <w:tc>
          <w:tcPr>
            <w:tcW w:w="2127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6"/>
                <w:szCs w:val="26"/>
                <w:lang w:eastAsia="en-US"/>
              </w:rPr>
            </w:pPr>
            <w:r w:rsidRPr="0071257F">
              <w:rPr>
                <w:noProof w:val="0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134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6"/>
                <w:szCs w:val="26"/>
                <w:lang w:eastAsia="en-US"/>
              </w:rPr>
            </w:pPr>
          </w:p>
        </w:tc>
      </w:tr>
      <w:tr w:rsidR="0074304B" w:rsidRPr="0071257F" w:rsidTr="009518AD">
        <w:trPr>
          <w:trHeight w:val="231"/>
        </w:trPr>
        <w:tc>
          <w:tcPr>
            <w:tcW w:w="2127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6"/>
                <w:szCs w:val="26"/>
                <w:lang w:eastAsia="en-US"/>
              </w:rPr>
            </w:pPr>
            <w:r w:rsidRPr="0071257F">
              <w:rPr>
                <w:noProof w:val="0"/>
                <w:sz w:val="26"/>
                <w:szCs w:val="26"/>
                <w:lang w:eastAsia="en-US"/>
              </w:rPr>
              <w:t>Муниципальная программа 1</w:t>
            </w:r>
          </w:p>
        </w:tc>
        <w:tc>
          <w:tcPr>
            <w:tcW w:w="1134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6"/>
                <w:szCs w:val="26"/>
                <w:lang w:eastAsia="en-US"/>
              </w:rPr>
            </w:pPr>
          </w:p>
        </w:tc>
      </w:tr>
      <w:tr w:rsidR="0074304B" w:rsidRPr="0071257F" w:rsidTr="009518AD">
        <w:trPr>
          <w:trHeight w:val="231"/>
        </w:trPr>
        <w:tc>
          <w:tcPr>
            <w:tcW w:w="2127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6"/>
                <w:szCs w:val="26"/>
                <w:lang w:eastAsia="en-US"/>
              </w:rPr>
            </w:pPr>
            <w:r w:rsidRPr="0071257F">
              <w:rPr>
                <w:noProof w:val="0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134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6"/>
                <w:szCs w:val="26"/>
                <w:lang w:eastAsia="en-US"/>
              </w:rPr>
            </w:pPr>
          </w:p>
        </w:tc>
      </w:tr>
      <w:tr w:rsidR="0074304B" w:rsidRPr="0071257F" w:rsidTr="009518AD">
        <w:trPr>
          <w:trHeight w:val="231"/>
        </w:trPr>
        <w:tc>
          <w:tcPr>
            <w:tcW w:w="2127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6"/>
                <w:szCs w:val="26"/>
                <w:lang w:eastAsia="en-US"/>
              </w:rPr>
            </w:pPr>
            <w:r w:rsidRPr="0071257F">
              <w:rPr>
                <w:noProof w:val="0"/>
                <w:sz w:val="26"/>
                <w:szCs w:val="26"/>
                <w:lang w:eastAsia="en-US"/>
              </w:rPr>
              <w:t>подпрограмма 1</w:t>
            </w:r>
          </w:p>
        </w:tc>
        <w:tc>
          <w:tcPr>
            <w:tcW w:w="1134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6"/>
                <w:szCs w:val="26"/>
                <w:lang w:eastAsia="en-US"/>
              </w:rPr>
            </w:pPr>
          </w:p>
        </w:tc>
      </w:tr>
      <w:tr w:rsidR="0074304B" w:rsidRPr="0071257F" w:rsidTr="009518AD">
        <w:trPr>
          <w:trHeight w:val="231"/>
        </w:trPr>
        <w:tc>
          <w:tcPr>
            <w:tcW w:w="2127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6"/>
                <w:szCs w:val="26"/>
                <w:lang w:eastAsia="en-US"/>
              </w:rPr>
            </w:pPr>
            <w:r w:rsidRPr="0071257F">
              <w:rPr>
                <w:noProof w:val="0"/>
                <w:sz w:val="26"/>
                <w:szCs w:val="26"/>
                <w:lang w:eastAsia="en-US"/>
              </w:rPr>
              <w:t>подпрограмма 2</w:t>
            </w:r>
          </w:p>
        </w:tc>
        <w:tc>
          <w:tcPr>
            <w:tcW w:w="1134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6"/>
                <w:szCs w:val="26"/>
                <w:lang w:eastAsia="en-US"/>
              </w:rPr>
            </w:pPr>
          </w:p>
        </w:tc>
      </w:tr>
      <w:tr w:rsidR="0074304B" w:rsidRPr="0071257F" w:rsidTr="009518AD">
        <w:trPr>
          <w:trHeight w:val="231"/>
        </w:trPr>
        <w:tc>
          <w:tcPr>
            <w:tcW w:w="2127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6"/>
                <w:szCs w:val="26"/>
                <w:lang w:eastAsia="en-US"/>
              </w:rPr>
            </w:pPr>
            <w:r w:rsidRPr="0071257F">
              <w:rPr>
                <w:noProof w:val="0"/>
                <w:sz w:val="26"/>
                <w:szCs w:val="26"/>
                <w:lang w:eastAsia="en-US"/>
              </w:rPr>
              <w:t>…….</w:t>
            </w:r>
          </w:p>
        </w:tc>
        <w:tc>
          <w:tcPr>
            <w:tcW w:w="1134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6"/>
                <w:szCs w:val="26"/>
                <w:lang w:eastAsia="en-US"/>
              </w:rPr>
            </w:pPr>
          </w:p>
        </w:tc>
      </w:tr>
      <w:tr w:rsidR="0074304B" w:rsidRPr="0071257F" w:rsidTr="009518AD">
        <w:tc>
          <w:tcPr>
            <w:tcW w:w="2127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6"/>
                <w:szCs w:val="26"/>
                <w:lang w:eastAsia="en-US"/>
              </w:rPr>
            </w:pPr>
            <w:r w:rsidRPr="0071257F">
              <w:rPr>
                <w:noProof w:val="0"/>
                <w:sz w:val="26"/>
                <w:szCs w:val="26"/>
                <w:lang w:eastAsia="en-US"/>
              </w:rPr>
              <w:t>Непрограммные расходы</w:t>
            </w:r>
          </w:p>
        </w:tc>
        <w:tc>
          <w:tcPr>
            <w:tcW w:w="1134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</w:tcPr>
          <w:p w:rsidR="0074304B" w:rsidRPr="0071257F" w:rsidRDefault="0074304B" w:rsidP="009518AD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6"/>
                <w:szCs w:val="26"/>
                <w:lang w:eastAsia="en-US"/>
              </w:rPr>
            </w:pPr>
          </w:p>
        </w:tc>
      </w:tr>
    </w:tbl>
    <w:p w:rsidR="0074304B" w:rsidRPr="0071257F" w:rsidRDefault="0074304B" w:rsidP="0074304B">
      <w:pPr>
        <w:pStyle w:val="ConsPlusNormal"/>
        <w:rPr>
          <w:rFonts w:ascii="Times New Roman" w:hAnsi="Times New Roman" w:cs="Times New Roman"/>
          <w:sz w:val="26"/>
          <w:szCs w:val="26"/>
          <w:lang w:eastAsia="en-US"/>
        </w:rPr>
      </w:pPr>
      <w:r w:rsidRPr="0071257F">
        <w:rPr>
          <w:rFonts w:ascii="Times New Roman" w:hAnsi="Times New Roman" w:cs="Times New Roman"/>
          <w:sz w:val="26"/>
          <w:szCs w:val="26"/>
          <w:lang w:eastAsia="en-US"/>
        </w:rPr>
        <w:t>*в соответствии с первоначально утвержденным решением о бюджете</w:t>
      </w:r>
    </w:p>
    <w:p w:rsidR="0074304B" w:rsidRPr="0071257F" w:rsidRDefault="0074304B" w:rsidP="0074304B">
      <w:pPr>
        <w:rPr>
          <w:sz w:val="26"/>
          <w:szCs w:val="26"/>
        </w:rPr>
      </w:pPr>
      <w:r w:rsidRPr="0071257F">
        <w:rPr>
          <w:sz w:val="26"/>
          <w:szCs w:val="26"/>
        </w:rPr>
        <w:t xml:space="preserve"> </w:t>
      </w:r>
    </w:p>
    <w:p w:rsidR="0074304B" w:rsidRPr="0071257F" w:rsidRDefault="0074304B" w:rsidP="0074304B">
      <w:pPr>
        <w:autoSpaceDE w:val="0"/>
        <w:autoSpaceDN w:val="0"/>
        <w:ind w:firstLine="720"/>
        <w:jc w:val="both"/>
        <w:rPr>
          <w:sz w:val="26"/>
          <w:szCs w:val="26"/>
        </w:rPr>
      </w:pPr>
      <w:r w:rsidRPr="0071257F">
        <w:rPr>
          <w:sz w:val="26"/>
          <w:szCs w:val="26"/>
        </w:rPr>
        <w:t>В пояснительной записки к проекту бюджета сельского поселения необходимо отразить по каждой муниципальной программе и в разрезе подпрограмм, а также по  непрограммным  направлениям расходов:</w:t>
      </w:r>
    </w:p>
    <w:p w:rsidR="0074304B" w:rsidRPr="0071257F" w:rsidRDefault="0074304B" w:rsidP="0074304B">
      <w:pPr>
        <w:tabs>
          <w:tab w:val="left" w:pos="0"/>
        </w:tabs>
        <w:suppressAutoHyphens/>
        <w:ind w:firstLine="720"/>
        <w:jc w:val="both"/>
        <w:rPr>
          <w:sz w:val="26"/>
          <w:szCs w:val="26"/>
        </w:rPr>
      </w:pPr>
      <w:r w:rsidRPr="0071257F">
        <w:rPr>
          <w:sz w:val="26"/>
          <w:szCs w:val="26"/>
        </w:rPr>
        <w:lastRenderedPageBreak/>
        <w:t>-цели и задачи, которые предусматривается выполнить в рамках исполнения бюджетных ассигнований деятельности главного распорядителя средств бюджета сельского поселения;</w:t>
      </w:r>
    </w:p>
    <w:p w:rsidR="0074304B" w:rsidRPr="0071257F" w:rsidRDefault="0074304B" w:rsidP="0074304B">
      <w:pPr>
        <w:tabs>
          <w:tab w:val="left" w:pos="0"/>
        </w:tabs>
        <w:suppressAutoHyphens/>
        <w:ind w:firstLine="720"/>
        <w:jc w:val="both"/>
        <w:rPr>
          <w:sz w:val="26"/>
          <w:szCs w:val="26"/>
        </w:rPr>
      </w:pPr>
      <w:r w:rsidRPr="0071257F">
        <w:rPr>
          <w:sz w:val="26"/>
          <w:szCs w:val="26"/>
        </w:rPr>
        <w:t>-перечень мероприятий, отражающих суть расходов;</w:t>
      </w:r>
    </w:p>
    <w:p w:rsidR="0074304B" w:rsidRPr="0071257F" w:rsidRDefault="0074304B" w:rsidP="0074304B">
      <w:pPr>
        <w:tabs>
          <w:tab w:val="left" w:pos="0"/>
        </w:tabs>
        <w:suppressAutoHyphens/>
        <w:ind w:firstLine="720"/>
        <w:jc w:val="both"/>
        <w:rPr>
          <w:sz w:val="26"/>
          <w:szCs w:val="26"/>
        </w:rPr>
      </w:pPr>
      <w:r w:rsidRPr="0071257F">
        <w:rPr>
          <w:sz w:val="26"/>
          <w:szCs w:val="26"/>
        </w:rPr>
        <w:t>-отраслевые особенности и факторы, оказывающие влияние на планирование бюджетных ассигнований в каждом из периодов;</w:t>
      </w:r>
    </w:p>
    <w:p w:rsidR="0074304B" w:rsidRPr="0071257F" w:rsidRDefault="0074304B" w:rsidP="0074304B">
      <w:pPr>
        <w:tabs>
          <w:tab w:val="left" w:pos="1134"/>
          <w:tab w:val="num" w:pos="1571"/>
        </w:tabs>
        <w:suppressAutoHyphens/>
        <w:ind w:firstLine="720"/>
        <w:jc w:val="both"/>
        <w:rPr>
          <w:sz w:val="26"/>
          <w:szCs w:val="26"/>
        </w:rPr>
      </w:pPr>
      <w:r w:rsidRPr="0071257F">
        <w:rPr>
          <w:sz w:val="26"/>
          <w:szCs w:val="26"/>
        </w:rPr>
        <w:t>-специфику направления, определяющие состав и объемы бюджетных ассигнований на 202</w:t>
      </w:r>
      <w:r>
        <w:rPr>
          <w:sz w:val="26"/>
          <w:szCs w:val="26"/>
        </w:rPr>
        <w:t>4</w:t>
      </w:r>
      <w:r w:rsidRPr="0071257F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5</w:t>
      </w:r>
      <w:r w:rsidRPr="0071257F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71257F">
        <w:rPr>
          <w:sz w:val="26"/>
          <w:szCs w:val="26"/>
        </w:rPr>
        <w:t xml:space="preserve"> годов (с выделением расходов на заработную плату, обеспечение деятельности и т.д.).</w:t>
      </w:r>
    </w:p>
    <w:p w:rsidR="0074304B" w:rsidRPr="0071257F" w:rsidRDefault="0074304B" w:rsidP="0074304B">
      <w:pPr>
        <w:rPr>
          <w:sz w:val="26"/>
          <w:szCs w:val="26"/>
        </w:rPr>
      </w:pPr>
    </w:p>
    <w:p w:rsidR="0074304B" w:rsidRPr="0071257F" w:rsidRDefault="0074304B" w:rsidP="0074304B">
      <w:pPr>
        <w:rPr>
          <w:sz w:val="26"/>
          <w:szCs w:val="26"/>
        </w:rPr>
      </w:pPr>
    </w:p>
    <w:p w:rsidR="0074304B" w:rsidRPr="0071257F" w:rsidRDefault="0074304B" w:rsidP="0074304B">
      <w:pPr>
        <w:rPr>
          <w:sz w:val="26"/>
          <w:szCs w:val="26"/>
        </w:rPr>
      </w:pPr>
    </w:p>
    <w:p w:rsidR="0074304B" w:rsidRPr="0071257F" w:rsidRDefault="0074304B" w:rsidP="0074304B">
      <w:pPr>
        <w:rPr>
          <w:sz w:val="26"/>
          <w:szCs w:val="26"/>
        </w:rPr>
      </w:pPr>
    </w:p>
    <w:p w:rsidR="0074304B" w:rsidRPr="0071257F" w:rsidRDefault="0074304B" w:rsidP="0074304B">
      <w:pPr>
        <w:rPr>
          <w:sz w:val="26"/>
          <w:szCs w:val="26"/>
        </w:rPr>
      </w:pPr>
    </w:p>
    <w:p w:rsidR="0074304B" w:rsidRPr="0071257F" w:rsidRDefault="0074304B" w:rsidP="0074304B">
      <w:pPr>
        <w:rPr>
          <w:sz w:val="26"/>
          <w:szCs w:val="26"/>
        </w:rPr>
      </w:pPr>
    </w:p>
    <w:p w:rsidR="0074304B" w:rsidRPr="0071257F" w:rsidRDefault="0074304B" w:rsidP="0074304B">
      <w:pPr>
        <w:rPr>
          <w:sz w:val="26"/>
          <w:szCs w:val="26"/>
        </w:rPr>
      </w:pPr>
    </w:p>
    <w:p w:rsidR="0074304B" w:rsidRPr="0071257F" w:rsidRDefault="0074304B" w:rsidP="0074304B">
      <w:pPr>
        <w:rPr>
          <w:sz w:val="26"/>
          <w:szCs w:val="26"/>
        </w:rPr>
      </w:pPr>
    </w:p>
    <w:p w:rsidR="0074304B" w:rsidRPr="0071257F" w:rsidRDefault="0074304B" w:rsidP="0074304B">
      <w:pPr>
        <w:rPr>
          <w:sz w:val="26"/>
          <w:szCs w:val="26"/>
        </w:rPr>
      </w:pPr>
    </w:p>
    <w:p w:rsidR="0074304B" w:rsidRPr="0071257F" w:rsidRDefault="0074304B" w:rsidP="0074304B">
      <w:pPr>
        <w:rPr>
          <w:sz w:val="26"/>
          <w:szCs w:val="26"/>
        </w:rPr>
      </w:pPr>
    </w:p>
    <w:p w:rsidR="0074304B" w:rsidRPr="0071257F" w:rsidRDefault="0074304B" w:rsidP="0074304B">
      <w:pPr>
        <w:rPr>
          <w:sz w:val="26"/>
          <w:szCs w:val="26"/>
        </w:rPr>
      </w:pPr>
    </w:p>
    <w:p w:rsidR="0074304B" w:rsidRPr="0071257F" w:rsidRDefault="0074304B" w:rsidP="0074304B">
      <w:pPr>
        <w:rPr>
          <w:sz w:val="26"/>
          <w:szCs w:val="26"/>
        </w:rPr>
      </w:pPr>
    </w:p>
    <w:p w:rsidR="0074304B" w:rsidRPr="0071257F" w:rsidRDefault="0074304B" w:rsidP="0074304B">
      <w:pPr>
        <w:rPr>
          <w:sz w:val="26"/>
          <w:szCs w:val="26"/>
        </w:rPr>
      </w:pPr>
    </w:p>
    <w:p w:rsidR="0074304B" w:rsidRPr="0071257F" w:rsidRDefault="0074304B" w:rsidP="0074304B">
      <w:pPr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  <w:r w:rsidRPr="0071257F">
        <w:rPr>
          <w:sz w:val="26"/>
          <w:szCs w:val="26"/>
        </w:rPr>
        <w:t xml:space="preserve">          ___________________                    ____________________                                                                         </w:t>
      </w:r>
    </w:p>
    <w:p w:rsidR="0074304B" w:rsidRPr="0071257F" w:rsidRDefault="0074304B" w:rsidP="0074304B">
      <w:pPr>
        <w:rPr>
          <w:sz w:val="26"/>
          <w:szCs w:val="26"/>
        </w:rPr>
      </w:pPr>
      <w:r w:rsidRPr="0071257F">
        <w:rPr>
          <w:sz w:val="26"/>
          <w:szCs w:val="26"/>
        </w:rPr>
        <w:t xml:space="preserve">                                                             (подпись)                               (расшифровка подписи)</w:t>
      </w:r>
    </w:p>
    <w:p w:rsidR="0074304B" w:rsidRPr="0071257F" w:rsidRDefault="0074304B" w:rsidP="0074304B">
      <w:pPr>
        <w:rPr>
          <w:sz w:val="26"/>
          <w:szCs w:val="26"/>
        </w:rPr>
      </w:pPr>
    </w:p>
    <w:p w:rsidR="0074304B" w:rsidRPr="0071257F" w:rsidRDefault="0074304B" w:rsidP="0074304B">
      <w:pPr>
        <w:rPr>
          <w:sz w:val="26"/>
          <w:szCs w:val="26"/>
        </w:rPr>
      </w:pPr>
      <w:r w:rsidRPr="0071257F">
        <w:rPr>
          <w:sz w:val="26"/>
          <w:szCs w:val="26"/>
        </w:rPr>
        <w:t>Исполнитель                                     _________________                    _____________________</w:t>
      </w:r>
    </w:p>
    <w:p w:rsidR="0074304B" w:rsidRPr="0071257F" w:rsidRDefault="0074304B" w:rsidP="0074304B">
      <w:pPr>
        <w:rPr>
          <w:sz w:val="26"/>
          <w:szCs w:val="26"/>
        </w:rPr>
      </w:pPr>
      <w:r w:rsidRPr="0071257F">
        <w:rPr>
          <w:sz w:val="26"/>
          <w:szCs w:val="26"/>
        </w:rPr>
        <w:t xml:space="preserve">                                                              (подпись)                               (расшифровка подписи)</w:t>
      </w:r>
    </w:p>
    <w:p w:rsidR="0074304B" w:rsidRPr="0071257F" w:rsidRDefault="0074304B" w:rsidP="0074304B">
      <w:pPr>
        <w:rPr>
          <w:sz w:val="26"/>
          <w:szCs w:val="26"/>
        </w:rPr>
      </w:pPr>
    </w:p>
    <w:p w:rsidR="0074304B" w:rsidRPr="0071257F" w:rsidRDefault="0074304B" w:rsidP="0074304B">
      <w:pPr>
        <w:rPr>
          <w:sz w:val="26"/>
          <w:szCs w:val="26"/>
        </w:rPr>
      </w:pPr>
      <w:r w:rsidRPr="0071257F">
        <w:rPr>
          <w:sz w:val="26"/>
          <w:szCs w:val="26"/>
        </w:rPr>
        <w:t xml:space="preserve">                                                                                                                      ___________________</w:t>
      </w:r>
    </w:p>
    <w:p w:rsidR="0074304B" w:rsidRPr="0071257F" w:rsidRDefault="0074304B" w:rsidP="0074304B">
      <w:pPr>
        <w:rPr>
          <w:sz w:val="26"/>
          <w:szCs w:val="26"/>
        </w:rPr>
      </w:pPr>
      <w:r w:rsidRPr="0071257F">
        <w:rPr>
          <w:sz w:val="26"/>
          <w:szCs w:val="26"/>
        </w:rPr>
        <w:t xml:space="preserve">                                                                                                                                  (телефон)</w:t>
      </w:r>
    </w:p>
    <w:p w:rsidR="0074304B" w:rsidRPr="0071257F" w:rsidRDefault="0074304B" w:rsidP="0074304B">
      <w:pPr>
        <w:rPr>
          <w:sz w:val="26"/>
          <w:szCs w:val="26"/>
        </w:rPr>
      </w:pPr>
    </w:p>
    <w:p w:rsidR="0074304B" w:rsidRPr="0071257F" w:rsidRDefault="0074304B" w:rsidP="0074304B">
      <w:pPr>
        <w:rPr>
          <w:sz w:val="26"/>
          <w:szCs w:val="26"/>
        </w:rPr>
      </w:pPr>
    </w:p>
    <w:p w:rsidR="0074304B" w:rsidRPr="0071257F" w:rsidRDefault="0074304B" w:rsidP="0074304B">
      <w:pPr>
        <w:rPr>
          <w:sz w:val="26"/>
          <w:szCs w:val="26"/>
        </w:rPr>
      </w:pPr>
      <w:r w:rsidRPr="0071257F">
        <w:rPr>
          <w:sz w:val="26"/>
          <w:szCs w:val="26"/>
        </w:rPr>
        <w:t>«___» ___________ 202</w:t>
      </w:r>
      <w:r>
        <w:rPr>
          <w:sz w:val="26"/>
          <w:szCs w:val="26"/>
        </w:rPr>
        <w:t>_</w:t>
      </w:r>
      <w:r w:rsidRPr="0071257F">
        <w:rPr>
          <w:sz w:val="26"/>
          <w:szCs w:val="26"/>
        </w:rPr>
        <w:t xml:space="preserve"> г. </w:t>
      </w:r>
    </w:p>
    <w:p w:rsidR="0074304B" w:rsidRDefault="0074304B"/>
    <w:sectPr w:rsidR="0074304B" w:rsidSect="00A70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4C62EE"/>
    <w:multiLevelType w:val="multilevel"/>
    <w:tmpl w:val="32344D7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84"/>
        </w:tabs>
        <w:ind w:left="1484" w:hanging="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17DA"/>
    <w:rsid w:val="00063C2D"/>
    <w:rsid w:val="003717DA"/>
    <w:rsid w:val="0074304B"/>
    <w:rsid w:val="007C4A0F"/>
    <w:rsid w:val="009F4347"/>
    <w:rsid w:val="00A70494"/>
    <w:rsid w:val="00BB31C7"/>
    <w:rsid w:val="00DC1BFC"/>
    <w:rsid w:val="00EE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4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7C4A0F"/>
    <w:pPr>
      <w:keepNext/>
      <w:jc w:val="center"/>
      <w:outlineLvl w:val="1"/>
    </w:pPr>
    <w:rPr>
      <w:rFonts w:ascii="Arial" w:hAnsi="Arial" w:cs="Arial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C4A0F"/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rmal">
    <w:name w:val="ConsPlusNormal"/>
    <w:rsid w:val="007C4A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0"/>
    <w:uiPriority w:val="99"/>
    <w:unhideWhenUsed/>
    <w:rsid w:val="007C4A0F"/>
    <w:pPr>
      <w:spacing w:before="100" w:beforeAutospacing="1" w:after="100" w:afterAutospacing="1"/>
    </w:pPr>
  </w:style>
  <w:style w:type="paragraph" w:styleId="a5">
    <w:name w:val="Body Text"/>
    <w:basedOn w:val="a0"/>
    <w:link w:val="a6"/>
    <w:rsid w:val="0074304B"/>
    <w:pPr>
      <w:autoSpaceDE w:val="0"/>
      <w:autoSpaceDN w:val="0"/>
      <w:jc w:val="right"/>
    </w:pPr>
    <w:rPr>
      <w:sz w:val="28"/>
      <w:lang w:eastAsia="en-US"/>
    </w:rPr>
  </w:style>
  <w:style w:type="character" w:customStyle="1" w:styleId="a6">
    <w:name w:val="Основной текст Знак"/>
    <w:basedOn w:val="a1"/>
    <w:link w:val="a5"/>
    <w:rsid w:val="0074304B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0"/>
    <w:link w:val="22"/>
    <w:rsid w:val="0074304B"/>
    <w:pPr>
      <w:ind w:right="176" w:firstLine="709"/>
      <w:jc w:val="both"/>
      <w:outlineLvl w:val="1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rsid w:val="007430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">
    <w:name w:val="Нумерованный абзац"/>
    <w:rsid w:val="0074304B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4A0F"/>
    <w:pPr>
      <w:keepNext/>
      <w:jc w:val="center"/>
      <w:outlineLvl w:val="1"/>
    </w:pPr>
    <w:rPr>
      <w:rFonts w:ascii="Arial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4A0F"/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rmal">
    <w:name w:val="ConsPlusNormal"/>
    <w:rsid w:val="007C4A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C4A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2555</Words>
  <Characters>14568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Пользователь Windows</cp:lastModifiedBy>
  <cp:revision>6</cp:revision>
  <cp:lastPrinted>2023-11-14T10:40:00Z</cp:lastPrinted>
  <dcterms:created xsi:type="dcterms:W3CDTF">2022-11-16T05:03:00Z</dcterms:created>
  <dcterms:modified xsi:type="dcterms:W3CDTF">2023-11-27T05:22:00Z</dcterms:modified>
</cp:coreProperties>
</file>